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C6C2D" w:rsidRDefault="003C6C2D">
      <w:pPr>
        <w:spacing w:before="1200"/>
      </w:pPr>
      <w:bookmarkStart w:id="0" w:name="_GoBack"/>
      <w:bookmarkEnd w:id="0"/>
    </w:p>
    <w:p w:rsidR="003C6C2D" w:rsidRDefault="00CC4878">
      <w:pPr>
        <w:spacing w:after="200"/>
        <w:jc w:val="center"/>
      </w:pPr>
      <w:r>
        <w:rPr>
          <w:b/>
          <w:bCs/>
          <w:color w:val="1B3A5C"/>
          <w:sz w:val="56"/>
          <w:szCs w:val="56"/>
        </w:rPr>
        <w:t>FRSTeam × SWRS</w:t>
      </w:r>
    </w:p>
    <w:p w:rsidR="003C6C2D" w:rsidRDefault="00CC4878">
      <w:pPr>
        <w:spacing w:after="160"/>
        <w:jc w:val="center"/>
      </w:pPr>
      <w:r>
        <w:rPr>
          <w:b/>
          <w:bCs/>
          <w:color w:val="2E75B6"/>
          <w:sz w:val="40"/>
          <w:szCs w:val="40"/>
        </w:rPr>
        <w:t>Possessory Lien Best Practices Guide</w:t>
      </w:r>
    </w:p>
    <w:p w:rsidR="003C6C2D" w:rsidRDefault="00CC4878">
      <w:pPr>
        <w:spacing w:after="400"/>
        <w:jc w:val="center"/>
      </w:pPr>
      <w:r>
        <w:rPr>
          <w:i/>
          <w:iCs/>
          <w:color w:val="595959"/>
          <w:sz w:val="26"/>
          <w:szCs w:val="26"/>
        </w:rPr>
        <w:t>When to Assert a Lien, How to Protect Your Financial Interest, and How to Reduce DSO</w:t>
      </w:r>
    </w:p>
    <w:p w:rsidR="003C6C2D" w:rsidRDefault="00CC4878">
      <w:pPr>
        <w:spacing w:after="80"/>
        <w:jc w:val="center"/>
      </w:pPr>
      <w:r>
        <w:rPr>
          <w:color w:val="1A7B7B"/>
          <w:sz w:val="22"/>
          <w:szCs w:val="22"/>
        </w:rPr>
        <w:t>State-by-State | Decision Framework | Timing Triggers | Risk Qualification</w:t>
      </w:r>
    </w:p>
    <w:p w:rsidR="003C6C2D" w:rsidRDefault="00CC4878">
      <w:pPr>
        <w:spacing w:after="80"/>
        <w:jc w:val="center"/>
      </w:pPr>
      <w:r>
        <w:rPr>
          <w:color w:val="595959"/>
        </w:rPr>
        <w:t>Version 1.0  |  April 2026  |  For FRSTeam Franchise Owner Use</w:t>
      </w:r>
    </w:p>
    <w:p w:rsidR="003C6C2D" w:rsidRDefault="00CC4878">
      <w:pPr>
        <w:spacing w:after="80"/>
        <w:jc w:val="center"/>
      </w:pPr>
      <w:r>
        <w:rPr>
          <w:color w:val="595959"/>
        </w:rPr>
        <w:t>SW Recovery Services  |  swrecovery.com  |  866-551-4684  |  sdietz@swrecovery.com</w:t>
      </w:r>
    </w:p>
    <w:p w:rsidR="003C6C2D" w:rsidRDefault="003C6C2D">
      <w:pPr>
        <w:spacing w:before="200"/>
      </w:pPr>
    </w:p>
    <w:p w:rsidR="003C6C2D" w:rsidRDefault="00CC4878">
      <w:pPr>
        <w:spacing w:before="100" w:after="80"/>
        <w:jc w:val="center"/>
      </w:pPr>
      <w:r>
        <w:rPr>
          <w:i/>
          <w:iCs/>
          <w:color w:val="595959"/>
          <w:sz w:val="18"/>
          <w:szCs w:val="18"/>
        </w:rPr>
        <w:t>DISCLAIMER: For business planning purposes only. Does not constitute legal advice. Consult a licensed attorne</w:t>
      </w:r>
      <w:r>
        <w:rPr>
          <w:i/>
          <w:iCs/>
          <w:color w:val="595959"/>
          <w:sz w:val="18"/>
          <w:szCs w:val="18"/>
        </w:rPr>
        <w:t>y in your state before asserting any lien. State laws change — verify current statutes before action.</w:t>
      </w:r>
    </w:p>
    <w:p w:rsidR="003C6C2D" w:rsidRDefault="00CC4878">
      <w:r>
        <w:br/>
      </w:r>
    </w:p>
    <w:p w:rsidR="003C6C2D" w:rsidRDefault="00CC4878">
      <w:pPr>
        <w:pStyle w:val="Heading1"/>
        <w:pBdr>
          <w:bottom w:val="single" w:sz="6" w:space="4" w:color="2E75B6"/>
        </w:pBdr>
      </w:pPr>
      <w:r>
        <w:t>How to Use This Guide</w:t>
      </w:r>
    </w:p>
    <w:p w:rsidR="003C6C2D" w:rsidRDefault="00CC4878">
      <w:pPr>
        <w:spacing w:before="80" w:after="80"/>
      </w:pPr>
      <w:r>
        <w:rPr>
          <w:color w:val="000000"/>
        </w:rPr>
        <w:t xml:space="preserve">This guide answers a single operational question: </w:t>
      </w:r>
      <w:r>
        <w:rPr>
          <w:b/>
          <w:bCs/>
          <w:color w:val="000000"/>
        </w:rPr>
        <w:t>when should a FRSTeam franchise owner assert a possessory lien on contents to pr</w:t>
      </w:r>
      <w:r>
        <w:rPr>
          <w:b/>
          <w:bCs/>
          <w:color w:val="000000"/>
        </w:rPr>
        <w:t>otect their financial interest and reduce Days Sales Outstanding (DSO)?</w:t>
      </w:r>
    </w:p>
    <w:p w:rsidR="003C6C2D" w:rsidRDefault="00CC4878">
      <w:pPr>
        <w:spacing w:before="80" w:after="80"/>
      </w:pPr>
      <w:r>
        <w:rPr>
          <w:color w:val="000000"/>
        </w:rPr>
        <w:t>It is organized into four parts:</w:t>
      </w:r>
    </w:p>
    <w:p w:rsidR="003C6C2D" w:rsidRDefault="00CC4878">
      <w:pPr>
        <w:pStyle w:val="ListParagraph"/>
        <w:numPr>
          <w:ilvl w:val="0"/>
          <w:numId w:val="2"/>
        </w:numPr>
        <w:spacing w:before="40" w:after="40"/>
      </w:pPr>
      <w:r>
        <w:rPr>
          <w:color w:val="000000"/>
        </w:rPr>
        <w:t>Part 1 — The Core Decision Framework: the five criteria to evaluate before asserting a lien</w:t>
      </w:r>
    </w:p>
    <w:p w:rsidR="003C6C2D" w:rsidRDefault="00CC4878">
      <w:pPr>
        <w:pStyle w:val="ListParagraph"/>
        <w:numPr>
          <w:ilvl w:val="0"/>
          <w:numId w:val="2"/>
        </w:numPr>
        <w:spacing w:before="40" w:after="40"/>
      </w:pPr>
      <w:r>
        <w:rPr>
          <w:color w:val="000000"/>
        </w:rPr>
        <w:t>Part 2 — Trigger Thresholds by Account Type: specific timin</w:t>
      </w:r>
      <w:r>
        <w:rPr>
          <w:color w:val="000000"/>
        </w:rPr>
        <w:t>g rules based on who the payer is</w:t>
      </w:r>
    </w:p>
    <w:p w:rsidR="003C6C2D" w:rsidRDefault="00CC4878">
      <w:pPr>
        <w:pStyle w:val="ListParagraph"/>
        <w:numPr>
          <w:ilvl w:val="0"/>
          <w:numId w:val="2"/>
        </w:numPr>
        <w:spacing w:before="40" w:after="40"/>
      </w:pPr>
      <w:r>
        <w:rPr>
          <w:color w:val="000000"/>
        </w:rPr>
        <w:t>Part 3 — State-by-State Best Practices: state-specific lien strength, notice periods, and recommended SWRS tier</w:t>
      </w:r>
    </w:p>
    <w:p w:rsidR="003C6C2D" w:rsidRDefault="00CC4878">
      <w:pPr>
        <w:pStyle w:val="ListParagraph"/>
        <w:numPr>
          <w:ilvl w:val="0"/>
          <w:numId w:val="2"/>
        </w:numPr>
        <w:spacing w:before="40" w:after="40"/>
      </w:pPr>
      <w:r>
        <w:rPr>
          <w:color w:val="000000"/>
        </w:rPr>
        <w:t>Part 4 — Pre-Lien Qualification Checklist: what to verify before calling SWRS to assert a lien</w:t>
      </w:r>
    </w:p>
    <w:p w:rsidR="003C6C2D" w:rsidRDefault="003C6C2D">
      <w:pPr>
        <w:spacing w:before="100"/>
      </w:pPr>
    </w:p>
    <w:p w:rsidR="003C6C2D" w:rsidRDefault="00CC4878">
      <w:pPr>
        <w:pBdr>
          <w:left w:val="single" w:sz="12" w:space="0" w:color="2E75B6"/>
        </w:pBdr>
        <w:shd w:val="clear" w:color="auto" w:fill="D5E8F4"/>
        <w:spacing w:before="160" w:after="160"/>
        <w:ind w:left="240" w:right="240"/>
      </w:pPr>
      <w:r>
        <w:rPr>
          <w:b/>
          <w:bCs/>
          <w:color w:val="1B3A5C"/>
        </w:rPr>
        <w:t>The single most important rule in this guide: DO NOT release contents to a homeowner who has not paid. The moment contents leave your warehouse, your possessory lien is extinguished permanently in most states. You cannot get it back. Call SWRS before you r</w:t>
      </w:r>
      <w:r>
        <w:rPr>
          <w:b/>
          <w:bCs/>
          <w:color w:val="1B3A5C"/>
        </w:rPr>
        <w:t>elease anything.</w:t>
      </w:r>
    </w:p>
    <w:p w:rsidR="003C6C2D" w:rsidRDefault="003C6C2D">
      <w:pPr>
        <w:spacing w:before="100"/>
      </w:pPr>
    </w:p>
    <w:p w:rsidR="003C6C2D" w:rsidRDefault="00CC4878">
      <w:r>
        <w:br/>
      </w:r>
    </w:p>
    <w:p w:rsidR="003C6C2D" w:rsidRDefault="00CC4878">
      <w:pPr>
        <w:pStyle w:val="Heading1"/>
        <w:pBdr>
          <w:bottom w:val="single" w:sz="6" w:space="4" w:color="2E75B6"/>
        </w:pBdr>
      </w:pPr>
      <w:r>
        <w:t>Part 1: The Core Decision Framework</w:t>
      </w:r>
    </w:p>
    <w:p w:rsidR="003C6C2D" w:rsidRDefault="00CC4878">
      <w:pPr>
        <w:spacing w:before="80" w:after="80"/>
      </w:pPr>
      <w:r>
        <w:rPr>
          <w:color w:val="000000"/>
        </w:rPr>
        <w:t xml:space="preserve">Before asserting a possessory lien on contents, evaluate all five criteria below. A lien assertion that fails any mandatory criterion creates legal and regulatory risk. A lien that passes all five is </w:t>
      </w:r>
      <w:r>
        <w:rPr>
          <w:color w:val="000000"/>
        </w:rPr>
        <w:t>a powerful, low-cost collection tool that typically produces payment without ever reaching the sale stage.</w:t>
      </w:r>
    </w:p>
    <w:p w:rsidR="003C6C2D" w:rsidRDefault="003C6C2D">
      <w:pPr>
        <w:spacing w:before="80"/>
      </w:pPr>
    </w:p>
    <w:p w:rsidR="003C6C2D" w:rsidRDefault="00CC4878">
      <w:pPr>
        <w:pStyle w:val="Heading2"/>
      </w:pPr>
      <w:r>
        <w:lastRenderedPageBreak/>
        <w:t>The Five Criteria</w:t>
      </w:r>
    </w:p>
    <w:p w:rsidR="003C6C2D" w:rsidRDefault="00CC4878">
      <w:pPr>
        <w:pStyle w:val="Heading3"/>
      </w:pPr>
      <w:r>
        <w:t>Criterion 1 — You Are Still in Physical Possession (MANDATORY)</w:t>
      </w:r>
    </w:p>
    <w:p w:rsidR="003C6C2D" w:rsidRDefault="00CC4878">
      <w:pPr>
        <w:spacing w:before="80" w:after="80"/>
      </w:pPr>
      <w:r>
        <w:rPr>
          <w:color w:val="000000"/>
        </w:rPr>
        <w:t>The possessory lien exists only while you hold the contents. This i</w:t>
      </w:r>
      <w:r>
        <w:rPr>
          <w:color w:val="000000"/>
        </w:rPr>
        <w:t>s not a technicality — it is the entire legal basis of the right. If you have already returned the clothing, electronics, documents, or other contents to the homeowner or insurer, the lien is gone. There is no filing that restores it.</w:t>
      </w:r>
    </w:p>
    <w:p w:rsidR="003C6C2D" w:rsidRDefault="00CC4878">
      <w:pPr>
        <w:pBdr>
          <w:left w:val="single" w:sz="12" w:space="0" w:color="C00000"/>
        </w:pBdr>
        <w:shd w:val="clear" w:color="auto" w:fill="FCE4E4"/>
        <w:spacing w:before="140" w:after="140"/>
        <w:ind w:left="240" w:right="240"/>
      </w:pPr>
      <w:r>
        <w:rPr>
          <w:b/>
          <w:bCs/>
          <w:color w:val="C00000"/>
        </w:rPr>
        <w:t>⚠</w:t>
      </w:r>
      <w:r>
        <w:rPr>
          <w:b/>
          <w:bCs/>
          <w:color w:val="C00000"/>
        </w:rPr>
        <w:t xml:space="preserve">  If contents have a</w:t>
      </w:r>
      <w:r>
        <w:rPr>
          <w:b/>
          <w:bCs/>
          <w:color w:val="C00000"/>
        </w:rPr>
        <w:t>lready been returned: do not attempt to assert a possessory lien. Shift immediately to Tier 2 consumer collections (demand letters, credit reporting, payment plans). Call SWRS — a different recovery strategy applies.</w:t>
      </w:r>
    </w:p>
    <w:p w:rsidR="003C6C2D" w:rsidRDefault="003C6C2D">
      <w:pPr>
        <w:spacing w:before="80"/>
      </w:pPr>
    </w:p>
    <w:p w:rsidR="003C6C2D" w:rsidRDefault="00CC4878">
      <w:pPr>
        <w:pStyle w:val="Heading3"/>
      </w:pPr>
      <w:r>
        <w:t>Criterion 2 — You Hold a Valid Mover's</w:t>
      </w:r>
      <w:r>
        <w:t xml:space="preserve"> License (MANDATORY in High-Risk States)</w:t>
      </w:r>
    </w:p>
    <w:p w:rsidR="003C6C2D" w:rsidRDefault="00CC4878">
      <w:pPr>
        <w:spacing w:before="80" w:after="80"/>
      </w:pPr>
      <w:r>
        <w:rPr>
          <w:color w:val="000000"/>
        </w:rPr>
        <w:t>In several states — most critically California, but also potentially Washington, Illinois, and others — transporting household goods over public roads requires a state-issued household goods mover's license. Without</w:t>
      </w:r>
      <w:r>
        <w:rPr>
          <w:color w:val="000000"/>
        </w:rPr>
        <w:t xml:space="preserve"> it, homeowner attorneys argue your possession is unlawful, which they claim extinguishes the lien entirely.</w:t>
      </w:r>
    </w:p>
    <w:p w:rsidR="003C6C2D" w:rsidRDefault="00CC4878">
      <w:pPr>
        <w:spacing w:before="80" w:after="80"/>
      </w:pPr>
      <w:r>
        <w:rPr>
          <w:color w:val="000000"/>
        </w:rPr>
        <w:t>This argument has not been definitively resolved by courts in most states, but it is routinely used by attorneys to force early releases. Even wher</w:t>
      </w:r>
      <w:r>
        <w:rPr>
          <w:color w:val="000000"/>
        </w:rPr>
        <w:t>e the legal argument would ultimately fail, it creates delay, cost, and regulatory risk (fines up to $5,000 per violation in California).</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440"/>
        <w:gridCol w:w="2880"/>
        <w:gridCol w:w="2880"/>
        <w:gridCol w:w="2160"/>
      </w:tblGrid>
      <w:tr w:rsidR="003C6C2D">
        <w:tblPrEx>
          <w:tblCellMar>
            <w:top w:w="0" w:type="dxa"/>
            <w:bottom w:w="0" w:type="dxa"/>
          </w:tblCellMar>
        </w:tblPrEx>
        <w:trPr>
          <w:tblHeader/>
        </w:trPr>
        <w:tc>
          <w:tcPr>
            <w:tcW w:w="144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State Risk Level</w:t>
            </w:r>
          </w:p>
        </w:tc>
        <w:tc>
          <w:tcPr>
            <w:tcW w:w="288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States</w:t>
            </w:r>
          </w:p>
        </w:tc>
        <w:tc>
          <w:tcPr>
            <w:tcW w:w="288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Mover's License Impact</w:t>
            </w:r>
          </w:p>
        </w:tc>
        <w:tc>
          <w:tcPr>
            <w:tcW w:w="21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SWRS Action</w:t>
            </w:r>
          </w:p>
        </w:tc>
      </w:tr>
      <w:tr w:rsidR="003C6C2D">
        <w:tblPrEx>
          <w:tblCellMar>
            <w:top w:w="0" w:type="dxa"/>
            <w:bottom w:w="0" w:type="dxa"/>
          </w:tblCellMar>
        </w:tblPrEx>
        <w:tc>
          <w:tcPr>
            <w:tcW w:w="1440" w:type="dxa"/>
            <w:tcBorders>
              <w:top w:val="single" w:sz="4" w:space="0" w:color="D9D9D9"/>
              <w:left w:val="single" w:sz="4" w:space="0" w:color="D9D9D9"/>
              <w:bottom w:val="single" w:sz="4" w:space="0" w:color="D9D9D9"/>
              <w:right w:val="single" w:sz="4" w:space="0" w:color="D9D9D9"/>
            </w:tcBorders>
            <w:shd w:val="clear" w:color="auto" w:fill="FCE4E4"/>
            <w:tcMar>
              <w:top w:w="80" w:type="dxa"/>
              <w:left w:w="120" w:type="dxa"/>
              <w:bottom w:w="80" w:type="dxa"/>
              <w:right w:w="120" w:type="dxa"/>
            </w:tcMar>
            <w:vAlign w:val="center"/>
          </w:tcPr>
          <w:p w:rsidR="003C6C2D" w:rsidRDefault="00CC4878">
            <w:r>
              <w:rPr>
                <w:b/>
                <w:bCs/>
                <w:color w:val="C00000"/>
                <w:sz w:val="19"/>
                <w:szCs w:val="19"/>
              </w:rPr>
              <w:t>CRITICAL</w:t>
            </w:r>
          </w:p>
        </w:tc>
        <w:tc>
          <w:tcPr>
            <w:tcW w:w="28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California</w:t>
            </w:r>
          </w:p>
        </w:tc>
        <w:tc>
          <w:tcPr>
            <w:tcW w:w="28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PUC actively enforces. Attorneys use unlicensed transport to void lien claim. Fines $5,000/violation. Prosecution possible.</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Verify CA PUC license BEFORE advising lien assertion</w:t>
            </w:r>
          </w:p>
        </w:tc>
      </w:tr>
      <w:tr w:rsidR="003C6C2D">
        <w:tblPrEx>
          <w:tblCellMar>
            <w:top w:w="0" w:type="dxa"/>
            <w:bottom w:w="0" w:type="dxa"/>
          </w:tblCellMar>
        </w:tblPrEx>
        <w:tc>
          <w:tcPr>
            <w:tcW w:w="144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vAlign w:val="center"/>
          </w:tcPr>
          <w:p w:rsidR="003C6C2D" w:rsidRDefault="00CC4878">
            <w:r>
              <w:rPr>
                <w:b/>
                <w:bCs/>
                <w:color w:val="C55A11"/>
                <w:sz w:val="19"/>
                <w:szCs w:val="19"/>
              </w:rPr>
              <w:t>HIGH</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Washington, Illinois</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State agencies monitor restoration companies. Attorneys raise unlicensed transport arguments.</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Verify state license before asserting lien</w:t>
            </w:r>
          </w:p>
        </w:tc>
      </w:tr>
      <w:tr w:rsidR="003C6C2D">
        <w:tblPrEx>
          <w:tblCellMar>
            <w:top w:w="0" w:type="dxa"/>
            <w:bottom w:w="0" w:type="dxa"/>
          </w:tblCellMar>
        </w:tblPrEx>
        <w:tc>
          <w:tcPr>
            <w:tcW w:w="14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vAlign w:val="center"/>
          </w:tcPr>
          <w:p w:rsidR="003C6C2D" w:rsidRDefault="00CC4878">
            <w:r>
              <w:rPr>
                <w:b/>
                <w:bCs/>
                <w:color w:val="C9900C"/>
                <w:sz w:val="19"/>
                <w:szCs w:val="19"/>
              </w:rPr>
              <w:t>MODERATE</w:t>
            </w:r>
          </w:p>
        </w:tc>
        <w:tc>
          <w:tcPr>
            <w:tcW w:w="28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Most other states</w:t>
            </w:r>
          </w:p>
        </w:tc>
        <w:tc>
          <w:tcPr>
            <w:tcW w:w="28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No specific enforcement pattern documented, but argument may be raised.</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Document transport authorization in work order</w:t>
            </w:r>
          </w:p>
        </w:tc>
      </w:tr>
      <w:tr w:rsidR="003C6C2D">
        <w:tblPrEx>
          <w:tblCellMar>
            <w:top w:w="0" w:type="dxa"/>
            <w:bottom w:w="0" w:type="dxa"/>
          </w:tblCellMar>
        </w:tblPrEx>
        <w:tc>
          <w:tcPr>
            <w:tcW w:w="14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vAlign w:val="center"/>
          </w:tcPr>
          <w:p w:rsidR="003C6C2D" w:rsidRDefault="00CC4878">
            <w:r>
              <w:rPr>
                <w:b/>
                <w:bCs/>
                <w:color w:val="375623"/>
                <w:sz w:val="19"/>
                <w:szCs w:val="19"/>
              </w:rPr>
              <w:t>LOW</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Rural/low-enforcement states</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Mover's license argument rare in practice</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Standard lien assertion procedures apply</w:t>
            </w:r>
          </w:p>
        </w:tc>
      </w:tr>
    </w:tbl>
    <w:p w:rsidR="003C6C2D" w:rsidRDefault="003C6C2D">
      <w:pPr>
        <w:spacing w:before="100"/>
      </w:pPr>
    </w:p>
    <w:p w:rsidR="003C6C2D" w:rsidRDefault="00CC4878">
      <w:pPr>
        <w:pStyle w:val="Heading3"/>
      </w:pPr>
      <w:r>
        <w:t>Criterion 3 — Your Work Authorization Includes Explicit Removal Permission</w:t>
      </w:r>
    </w:p>
    <w:p w:rsidR="003C6C2D" w:rsidRDefault="00CC4878">
      <w:pPr>
        <w:spacing w:before="80" w:after="80"/>
      </w:pPr>
      <w:r>
        <w:rPr>
          <w:color w:val="000000"/>
        </w:rPr>
        <w:t>Your signed work authorization should explicitly state: (1) you are authorized to remove contents from the property, and (2) the homeowner authorizes transport to your facility. This language directly defeats the "unlawful possession" argument.</w:t>
      </w:r>
    </w:p>
    <w:p w:rsidR="003C6C2D" w:rsidRDefault="00CC4878">
      <w:pPr>
        <w:pBdr>
          <w:left w:val="single" w:sz="12" w:space="0" w:color="C55A11"/>
        </w:pBdr>
        <w:shd w:val="clear" w:color="auto" w:fill="FCE4D6"/>
        <w:spacing w:before="140" w:after="140"/>
        <w:ind w:left="240" w:right="240"/>
      </w:pPr>
      <w:r>
        <w:rPr>
          <w:b/>
          <w:bCs/>
          <w:color w:val="C55A11"/>
        </w:rPr>
        <w:t>★  Action I</w:t>
      </w:r>
      <w:r>
        <w:rPr>
          <w:b/>
          <w:bCs/>
          <w:color w:val="C55A11"/>
        </w:rPr>
        <w:t>tem for FRSTeam Corporate: Add a single sentence to the standard work authorization: "Customer hereby authorizes FRSTeam to remove, transport, and retain contents at its restoration facility pending completion of services and full payment." This one senten</w:t>
      </w:r>
      <w:r>
        <w:rPr>
          <w:b/>
          <w:bCs/>
          <w:color w:val="C55A11"/>
        </w:rPr>
        <w:t>ce protects every owner's lien rights before a dispute ever starts.</w:t>
      </w:r>
    </w:p>
    <w:p w:rsidR="003C6C2D" w:rsidRDefault="003C6C2D">
      <w:pPr>
        <w:spacing w:before="80"/>
      </w:pPr>
    </w:p>
    <w:p w:rsidR="003C6C2D" w:rsidRDefault="00CC4878">
      <w:pPr>
        <w:pStyle w:val="Heading3"/>
      </w:pPr>
      <w:r>
        <w:t>Criterion 4 — The Debt Is for Restoration/Cleaning Services on the Contents in Your Possession</w:t>
      </w:r>
    </w:p>
    <w:p w:rsidR="003C6C2D" w:rsidRDefault="00CC4878">
      <w:pPr>
        <w:spacing w:before="80" w:after="80"/>
      </w:pPr>
      <w:r>
        <w:rPr>
          <w:color w:val="000000"/>
        </w:rPr>
        <w:t>You can only assert a possessory lien for the amount owed specifically on the contents you h</w:t>
      </w:r>
      <w:r>
        <w:rPr>
          <w:color w:val="000000"/>
        </w:rPr>
        <w:t>old. You cannot hold contents hostage for an unrelated debt — for example, if the homeowner paid for contents restoration but owes a balance on separate structural work, you must release the contents.</w:t>
      </w:r>
    </w:p>
    <w:p w:rsidR="003C6C2D" w:rsidRDefault="00CC4878">
      <w:pPr>
        <w:spacing w:before="80" w:after="80"/>
      </w:pPr>
      <w:r>
        <w:rPr>
          <w:color w:val="000000"/>
        </w:rPr>
        <w:lastRenderedPageBreak/>
        <w:t>The lien amount is strictly limited to the value of ser</w:t>
      </w:r>
      <w:r>
        <w:rPr>
          <w:color w:val="000000"/>
        </w:rPr>
        <w:t>vices performed on the specific items still in your possession. This is important when jobs involve partial deliveries — once a portion of contents is returned, you retain lien rights only on the contents still in your warehouse.</w:t>
      </w:r>
    </w:p>
    <w:p w:rsidR="003C6C2D" w:rsidRDefault="00CC4878">
      <w:pPr>
        <w:pBdr>
          <w:left w:val="single" w:sz="12" w:space="0" w:color="C00000"/>
        </w:pBdr>
        <w:shd w:val="clear" w:color="auto" w:fill="FCE4E4"/>
        <w:spacing w:before="140" w:after="140"/>
        <w:ind w:left="240" w:right="240"/>
      </w:pPr>
      <w:r>
        <w:rPr>
          <w:b/>
          <w:bCs/>
          <w:color w:val="C00000"/>
        </w:rPr>
        <w:t>⚠</w:t>
      </w:r>
      <w:r>
        <w:rPr>
          <w:b/>
          <w:bCs/>
          <w:color w:val="C00000"/>
        </w:rPr>
        <w:t xml:space="preserve">  Do not hold contents as leverage for debts unrelated to the restoration of those specific contents. This can constitute conversion — a civil tort — and in some states a criminal act. Invoice clarity is essential: line-item the contents charges separatel</w:t>
      </w:r>
      <w:r>
        <w:rPr>
          <w:b/>
          <w:bCs/>
          <w:color w:val="C00000"/>
        </w:rPr>
        <w:t>y from structural charges.</w:t>
      </w:r>
    </w:p>
    <w:p w:rsidR="003C6C2D" w:rsidRDefault="003C6C2D">
      <w:pPr>
        <w:spacing w:before="80"/>
      </w:pPr>
    </w:p>
    <w:p w:rsidR="003C6C2D" w:rsidRDefault="00CC4878">
      <w:pPr>
        <w:pStyle w:val="Heading3"/>
      </w:pPr>
      <w:r>
        <w:t>Criterion 5 — The Account Value Justifies the Holding Cost</w:t>
      </w:r>
    </w:p>
    <w:p w:rsidR="003C6C2D" w:rsidRDefault="00CC4878">
      <w:pPr>
        <w:spacing w:before="80" w:after="80"/>
      </w:pPr>
      <w:r>
        <w:rPr>
          <w:color w:val="000000"/>
        </w:rPr>
        <w:t>Holding contents has a cost: storage space, insurance, inventory management, and relationship friction. For very small balances, the cost-benefit may not favor asserting the lien. Use the threshold below as a practical guide: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3360"/>
        <w:gridCol w:w="4320"/>
      </w:tblGrid>
      <w:tr w:rsidR="003C6C2D">
        <w:tblPrEx>
          <w:tblCellMar>
            <w:top w:w="0" w:type="dxa"/>
            <w:bottom w:w="0" w:type="dxa"/>
          </w:tblCellMar>
        </w:tblPrEx>
        <w:trPr>
          <w:tblHeader/>
        </w:trPr>
        <w:tc>
          <w:tcPr>
            <w:tcW w:w="168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Balance Due</w:t>
            </w:r>
          </w:p>
        </w:tc>
        <w:tc>
          <w:tcPr>
            <w:tcW w:w="33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Holding Strategy</w:t>
            </w:r>
          </w:p>
        </w:tc>
        <w:tc>
          <w:tcPr>
            <w:tcW w:w="432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R</w:t>
            </w:r>
            <w:r>
              <w:rPr>
                <w:b/>
                <w:bCs/>
                <w:color w:val="FFFFFF"/>
                <w:sz w:val="19"/>
                <w:szCs w:val="19"/>
              </w:rPr>
              <w:t>ationale</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Under $300</w:t>
            </w:r>
          </w:p>
        </w:tc>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Standard AR outreach only — no lien assertion</w:t>
            </w:r>
          </w:p>
        </w:tc>
        <w:tc>
          <w:tcPr>
            <w:tcW w:w="43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Storage cost and relationship friction exceed likely recovery gain from lien leverage</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$300 — $750</w:t>
            </w:r>
          </w:p>
        </w:tc>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Lien assertion with 30-day payment deadline; concurrent SWRS Tier 1 outreach</w:t>
            </w:r>
          </w:p>
        </w:tc>
        <w:tc>
          <w:tcPr>
            <w:tcW w:w="432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Lien leverage justifies holding; escalate quickly to avoid prolonged storage</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$751 — $2,500</w:t>
            </w:r>
          </w:p>
        </w:tc>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Full lien assertion + SWRS credit reporting threat + payment plan offer</w:t>
            </w:r>
          </w:p>
        </w:tc>
        <w:tc>
          <w:tcPr>
            <w:tcW w:w="43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Standard deductible range — lien + credit reporting is optimal combination</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Over $2,500</w:t>
            </w:r>
          </w:p>
        </w:tc>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Full lien assertion + SWRS Tier 2–4 + legal referral evaluation</w:t>
            </w:r>
          </w:p>
        </w:tc>
        <w:tc>
          <w:tcPr>
            <w:tcW w:w="432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High-value accounts justify full escalation ladder and legal consultation</w:t>
            </w:r>
          </w:p>
        </w:tc>
      </w:tr>
    </w:tbl>
    <w:p w:rsidR="003C6C2D" w:rsidRDefault="003C6C2D">
      <w:pPr>
        <w:spacing w:before="160"/>
      </w:pPr>
    </w:p>
    <w:p w:rsidR="003C6C2D" w:rsidRDefault="00CC4878">
      <w:r>
        <w:br/>
      </w:r>
    </w:p>
    <w:p w:rsidR="003C6C2D" w:rsidRDefault="00CC4878">
      <w:pPr>
        <w:pStyle w:val="Heading1"/>
        <w:pBdr>
          <w:bottom w:val="single" w:sz="6" w:space="4" w:color="2E75B6"/>
        </w:pBdr>
      </w:pPr>
      <w:r>
        <w:t>Part 2: Trigger Thresholds by Account Type</w:t>
      </w:r>
    </w:p>
    <w:p w:rsidR="003C6C2D" w:rsidRDefault="00CC4878">
      <w:pPr>
        <w:spacing w:before="80" w:after="80"/>
      </w:pPr>
      <w:r>
        <w:rPr>
          <w:color w:val="000000"/>
        </w:rPr>
        <w:t>Not all unpaid accounts are the same. The timing of lien assertion — and whether to assert at all — depends on who the payer is and why the account is aged. Use these triggers as a starting framework.</w:t>
      </w:r>
    </w:p>
    <w:p w:rsidR="003C6C2D" w:rsidRDefault="003C6C2D">
      <w:pPr>
        <w:spacing w:before="80"/>
      </w:pPr>
    </w:p>
    <w:p w:rsidR="003C6C2D" w:rsidRDefault="00CC4878">
      <w:pPr>
        <w:pStyle w:val="Heading2"/>
      </w:pPr>
      <w:r>
        <w:t>Account Type 1: Homeowner Deductible (Consumer Payer)</w:t>
      </w:r>
    </w:p>
    <w:p w:rsidR="003C6C2D" w:rsidRDefault="00CC4878">
      <w:pPr>
        <w:spacing w:before="80" w:after="80"/>
      </w:pPr>
      <w:r>
        <w:rPr>
          <w:b/>
          <w:bCs/>
          <w:color w:val="000000"/>
        </w:rPr>
        <w:t xml:space="preserve">This is the most common FRSTeam lien scenario. </w:t>
      </w:r>
      <w:r>
        <w:rPr>
          <w:color w:val="000000"/>
        </w:rPr>
        <w:t>The insurance carrier paid its portion. The homeowner owes the deductible, typically $500–$2,500, and the job is complete.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20"/>
        <w:gridCol w:w="2160"/>
        <w:gridCol w:w="3600"/>
        <w:gridCol w:w="2880"/>
      </w:tblGrid>
      <w:tr w:rsidR="003C6C2D">
        <w:tblPrEx>
          <w:tblCellMar>
            <w:top w:w="0" w:type="dxa"/>
            <w:bottom w:w="0" w:type="dxa"/>
          </w:tblCellMar>
        </w:tblPrEx>
        <w:trPr>
          <w:tblHeader/>
        </w:trPr>
        <w:tc>
          <w:tcPr>
            <w:tcW w:w="72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Day</w:t>
            </w:r>
          </w:p>
        </w:tc>
        <w:tc>
          <w:tcPr>
            <w:tcW w:w="21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Situation</w:t>
            </w:r>
          </w:p>
        </w:tc>
        <w:tc>
          <w:tcPr>
            <w:tcW w:w="36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Recommended Action</w:t>
            </w:r>
          </w:p>
        </w:tc>
        <w:tc>
          <w:tcPr>
            <w:tcW w:w="288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Lien Status</w:t>
            </w:r>
          </w:p>
        </w:tc>
      </w:tr>
      <w:tr w:rsidR="003C6C2D">
        <w:tblPrEx>
          <w:tblCellMar>
            <w:top w:w="0" w:type="dxa"/>
            <w:bottom w:w="0" w:type="dxa"/>
          </w:tblCellMar>
        </w:tblPrEx>
        <w:tc>
          <w:tcPr>
            <w:tcW w:w="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Day 0–14</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Deductible invoice delivered; payment not yet due</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Standard invoice with payment terms</w:t>
            </w:r>
          </w:p>
        </w:tc>
        <w:tc>
          <w:tcPr>
            <w:tcW w:w="288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vAlign w:val="center"/>
          </w:tcPr>
          <w:p w:rsidR="003C6C2D" w:rsidRDefault="00CC4878">
            <w:r>
              <w:rPr>
                <w:color w:val="375623"/>
                <w:sz w:val="19"/>
                <w:szCs w:val="19"/>
              </w:rPr>
              <w:t>No lien — not yet needed</w:t>
            </w:r>
          </w:p>
        </w:tc>
      </w:tr>
      <w:tr w:rsidR="003C6C2D">
        <w:tblPrEx>
          <w:tblCellMar>
            <w:top w:w="0" w:type="dxa"/>
            <w:bottom w:w="0" w:type="dxa"/>
          </w:tblCellMar>
        </w:tblPrEx>
        <w:tc>
          <w:tcPr>
            <w:tcW w:w="72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Day 15–30</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No payment; no response</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Friendly reminder — call + text + email. Offer payment plan.</w:t>
            </w:r>
          </w:p>
        </w:tc>
        <w:tc>
          <w:tcPr>
            <w:tcW w:w="288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vAlign w:val="center"/>
          </w:tcPr>
          <w:p w:rsidR="003C6C2D" w:rsidRDefault="00CC4878">
            <w:r>
              <w:rPr>
                <w:color w:val="375623"/>
                <w:sz w:val="19"/>
                <w:szCs w:val="19"/>
              </w:rPr>
              <w:t>No lien — early stage</w:t>
            </w:r>
          </w:p>
        </w:tc>
      </w:tr>
      <w:tr w:rsidR="003C6C2D">
        <w:tblPrEx>
          <w:tblCellMar>
            <w:top w:w="0" w:type="dxa"/>
            <w:bottom w:w="0" w:type="dxa"/>
          </w:tblCellMar>
        </w:tblPrEx>
        <w:tc>
          <w:tcPr>
            <w:tcW w:w="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Day 31–45</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No payment; contact attempted</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SWRS Tier 1 demand letter. Notify contents will be retained pending payment.</w:t>
            </w:r>
          </w:p>
        </w:tc>
        <w:tc>
          <w:tcPr>
            <w:tcW w:w="288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vAlign w:val="center"/>
          </w:tcPr>
          <w:p w:rsidR="003C6C2D" w:rsidRDefault="00CC4878">
            <w:r>
              <w:rPr>
                <w:b/>
                <w:bCs/>
                <w:color w:val="C9900C"/>
                <w:sz w:val="19"/>
                <w:szCs w:val="19"/>
              </w:rPr>
              <w:t>LIEN ACTIVE — notify now</w:t>
            </w:r>
          </w:p>
        </w:tc>
      </w:tr>
      <w:tr w:rsidR="003C6C2D">
        <w:tblPrEx>
          <w:tblCellMar>
            <w:top w:w="0" w:type="dxa"/>
            <w:bottom w:w="0" w:type="dxa"/>
          </w:tblCellMar>
        </w:tblPrEx>
        <w:tc>
          <w:tcPr>
            <w:tcW w:w="72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Day 45–60</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 xml:space="preserve">No payment; homeowner </w:t>
            </w:r>
            <w:r>
              <w:rPr>
                <w:color w:val="000000"/>
                <w:sz w:val="19"/>
                <w:szCs w:val="19"/>
              </w:rPr>
              <w:lastRenderedPageBreak/>
              <w:t>requesting return of contents</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lastRenderedPageBreak/>
              <w:t>DO NOT RELEASE. SWRS issues formal lien notice (state-specific). Credit reporting threat added.</w:t>
            </w:r>
          </w:p>
        </w:tc>
        <w:tc>
          <w:tcPr>
            <w:tcW w:w="288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vAlign w:val="center"/>
          </w:tcPr>
          <w:p w:rsidR="003C6C2D" w:rsidRDefault="00CC4878">
            <w:r>
              <w:rPr>
                <w:b/>
                <w:bCs/>
                <w:color w:val="C55A11"/>
                <w:sz w:val="19"/>
                <w:szCs w:val="19"/>
              </w:rPr>
              <w:t>LIEN ENFORCING — hold contents</w:t>
            </w:r>
          </w:p>
        </w:tc>
      </w:tr>
      <w:tr w:rsidR="003C6C2D">
        <w:tblPrEx>
          <w:tblCellMar>
            <w:top w:w="0" w:type="dxa"/>
            <w:bottom w:w="0" w:type="dxa"/>
          </w:tblCellMar>
        </w:tblPrEx>
        <w:tc>
          <w:tcPr>
            <w:tcW w:w="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Day 60–90</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No payment; notice period expires in most states</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Evaluate sale or continued hold. SWRS escalates to Tier 3. Legal referral if balance &gt; $1,500.</w:t>
            </w:r>
          </w:p>
        </w:tc>
        <w:tc>
          <w:tcPr>
            <w:tcW w:w="2880" w:type="dxa"/>
            <w:tcBorders>
              <w:top w:val="single" w:sz="4" w:space="0" w:color="D9D9D9"/>
              <w:left w:val="single" w:sz="4" w:space="0" w:color="D9D9D9"/>
              <w:bottom w:val="single" w:sz="4" w:space="0" w:color="D9D9D9"/>
              <w:right w:val="single" w:sz="4" w:space="0" w:color="D9D9D9"/>
            </w:tcBorders>
            <w:shd w:val="clear" w:color="auto" w:fill="FCE4E4"/>
            <w:tcMar>
              <w:top w:w="80" w:type="dxa"/>
              <w:left w:w="120" w:type="dxa"/>
              <w:bottom w:w="80" w:type="dxa"/>
              <w:right w:w="120" w:type="dxa"/>
            </w:tcMar>
            <w:vAlign w:val="center"/>
          </w:tcPr>
          <w:p w:rsidR="003C6C2D" w:rsidRDefault="00CC4878">
            <w:r>
              <w:rPr>
                <w:b/>
                <w:bCs/>
                <w:color w:val="C00000"/>
                <w:sz w:val="19"/>
                <w:szCs w:val="19"/>
              </w:rPr>
              <w:t>SALE RIGHTS ACTIVE in 10 &amp; 30-day states</w:t>
            </w:r>
          </w:p>
        </w:tc>
      </w:tr>
      <w:tr w:rsidR="003C6C2D">
        <w:tblPrEx>
          <w:tblCellMar>
            <w:top w:w="0" w:type="dxa"/>
            <w:bottom w:w="0" w:type="dxa"/>
          </w:tblCellMar>
        </w:tblPrEx>
        <w:tc>
          <w:tcPr>
            <w:tcW w:w="72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Day 90+</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Florida: 60-day notice just expiring</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Full escalation. Florida sale rights now active.</w:t>
            </w:r>
          </w:p>
        </w:tc>
        <w:tc>
          <w:tcPr>
            <w:tcW w:w="2880" w:type="dxa"/>
            <w:tcBorders>
              <w:top w:val="single" w:sz="4" w:space="0" w:color="D9D9D9"/>
              <w:left w:val="single" w:sz="4" w:space="0" w:color="D9D9D9"/>
              <w:bottom w:val="single" w:sz="4" w:space="0" w:color="D9D9D9"/>
              <w:right w:val="single" w:sz="4" w:space="0" w:color="D9D9D9"/>
            </w:tcBorders>
            <w:shd w:val="clear" w:color="auto" w:fill="FCE4E4"/>
            <w:tcMar>
              <w:top w:w="80" w:type="dxa"/>
              <w:left w:w="120" w:type="dxa"/>
              <w:bottom w:w="80" w:type="dxa"/>
              <w:right w:w="120" w:type="dxa"/>
            </w:tcMar>
            <w:vAlign w:val="center"/>
          </w:tcPr>
          <w:p w:rsidR="003C6C2D" w:rsidRDefault="00CC4878">
            <w:r>
              <w:rPr>
                <w:b/>
                <w:bCs/>
                <w:color w:val="C00000"/>
                <w:sz w:val="19"/>
                <w:szCs w:val="19"/>
              </w:rPr>
              <w:t>ALL STATES: sale rights active</w:t>
            </w:r>
          </w:p>
        </w:tc>
      </w:tr>
    </w:tbl>
    <w:p w:rsidR="003C6C2D" w:rsidRDefault="003C6C2D">
      <w:pPr>
        <w:spacing w:before="100"/>
      </w:pPr>
    </w:p>
    <w:p w:rsidR="003C6C2D" w:rsidRDefault="00CC4878">
      <w:pPr>
        <w:pBdr>
          <w:left w:val="single" w:sz="12" w:space="0" w:color="375623"/>
        </w:pBdr>
        <w:shd w:val="clear" w:color="auto" w:fill="E2EFDA"/>
        <w:spacing w:before="140" w:after="140"/>
        <w:ind w:left="240" w:right="240"/>
      </w:pPr>
      <w:r>
        <w:rPr>
          <w:b/>
          <w:bCs/>
          <w:color w:val="375623"/>
        </w:rPr>
        <w:t>✔</w:t>
      </w:r>
      <w:r>
        <w:rPr>
          <w:b/>
          <w:bCs/>
          <w:color w:val="375623"/>
        </w:rPr>
        <w:t xml:space="preserve">  DSO Impact: Deductible accounts that are active in the possessory lien program show average collection within 35–50 days vs. 90–150+ days without lien leverage. A 60-day DSO reduction on a $1,500 average deductible = ~$250 in working capital freed per a</w:t>
      </w:r>
      <w:r>
        <w:rPr>
          <w:b/>
          <w:bCs/>
          <w:color w:val="375623"/>
        </w:rPr>
        <w:t>ccount per month.</w:t>
      </w:r>
    </w:p>
    <w:p w:rsidR="003C6C2D" w:rsidRDefault="003C6C2D">
      <w:pPr>
        <w:spacing w:before="100"/>
      </w:pPr>
    </w:p>
    <w:p w:rsidR="003C6C2D" w:rsidRDefault="00CC4878">
      <w:pPr>
        <w:pStyle w:val="Heading2"/>
      </w:pPr>
      <w:r>
        <w:t>Account Type 2: Insurance Carrier — Approved But Unpaid Claim</w:t>
      </w:r>
    </w:p>
    <w:p w:rsidR="003C6C2D" w:rsidRDefault="00CC4878">
      <w:pPr>
        <w:spacing w:before="80" w:after="80"/>
      </w:pPr>
      <w:r>
        <w:rPr>
          <w:color w:val="000000"/>
        </w:rPr>
        <w:t>The insurance adjuster approved the claim, but the carrier has not released payment. This is not a possessory lien situation — the carrier does not own the contents. The posse</w:t>
      </w:r>
      <w:r>
        <w:rPr>
          <w:color w:val="000000"/>
        </w:rPr>
        <w:t>ssory lien applies to homeowner-owed balances.</w:t>
      </w:r>
    </w:p>
    <w:p w:rsidR="003C6C2D" w:rsidRDefault="00CC4878">
      <w:pPr>
        <w:spacing w:before="80" w:after="80"/>
      </w:pPr>
      <w:r>
        <w:rPr>
          <w:color w:val="000000"/>
        </w:rPr>
        <w:t>For carrier-side delays: SWRS uses commercial AR management — professional follow-up with the claims department, supplement escalation documentation, and adjuster-specific pressure tracks. The lien tool here i</w:t>
      </w:r>
      <w:r>
        <w:rPr>
          <w:color w:val="000000"/>
        </w:rPr>
        <w:t xml:space="preserve">s the </w:t>
      </w:r>
    </w:p>
    <w:p w:rsidR="003C6C2D" w:rsidRDefault="00CC4878">
      <w:pPr>
        <w:spacing w:before="80" w:after="80"/>
      </w:pPr>
      <w:r>
        <w:rPr>
          <w:b/>
          <w:bCs/>
          <w:color w:val="000000"/>
        </w:rPr>
        <w:t>Notice of Intent to Lien on Real Property</w:t>
      </w:r>
      <w:r>
        <w:rPr>
          <w:color w:val="000000"/>
        </w:rPr>
        <w:t xml:space="preserve"> (mechanics lien path for any structural work component), not the possessory lien.</w:t>
      </w:r>
    </w:p>
    <w:p w:rsidR="003C6C2D" w:rsidRDefault="00CC4878">
      <w:pPr>
        <w:pBdr>
          <w:left w:val="single" w:sz="12" w:space="0" w:color="C00000"/>
        </w:pBdr>
        <w:shd w:val="clear" w:color="auto" w:fill="FCE4E4"/>
        <w:spacing w:before="140" w:after="140"/>
        <w:ind w:left="240" w:right="240"/>
      </w:pPr>
      <w:r>
        <w:rPr>
          <w:b/>
          <w:bCs/>
          <w:color w:val="C00000"/>
        </w:rPr>
        <w:t>⚠</w:t>
      </w:r>
      <w:r>
        <w:rPr>
          <w:b/>
          <w:bCs/>
          <w:color w:val="C00000"/>
        </w:rPr>
        <w:t xml:space="preserve">  Do not attempt to hold contents as leverage against an insurance carrier's approved-but-unpaid claim. The carrier does not own the personal property — the homeowner does. The correct tool for carrier AR is commercial collections through SWRS, not posses</w:t>
      </w:r>
      <w:r>
        <w:rPr>
          <w:b/>
          <w:bCs/>
          <w:color w:val="C00000"/>
        </w:rPr>
        <w:t>sory lien assertion.</w:t>
      </w:r>
    </w:p>
    <w:p w:rsidR="003C6C2D" w:rsidRDefault="003C6C2D">
      <w:pPr>
        <w:spacing w:before="100"/>
      </w:pPr>
    </w:p>
    <w:p w:rsidR="003C6C2D" w:rsidRDefault="00CC4878">
      <w:pPr>
        <w:pStyle w:val="Heading2"/>
      </w:pPr>
      <w:r>
        <w:t>Account Type 3: Two-Party Check — Homeowner Cashed Without Your Endorsement</w:t>
      </w:r>
    </w:p>
    <w:p w:rsidR="003C6C2D" w:rsidRDefault="00CC4878">
      <w:pPr>
        <w:spacing w:before="80" w:after="80"/>
      </w:pPr>
      <w:r>
        <w:rPr>
          <w:color w:val="000000"/>
        </w:rPr>
        <w:t>This is a separate legal track from the possessory lien. If the homeowner cashed an insurance check that named FRSTeam as co-payee:</w:t>
      </w:r>
    </w:p>
    <w:p w:rsidR="003C6C2D" w:rsidRDefault="00CC4878">
      <w:pPr>
        <w:pStyle w:val="ListParagraph"/>
        <w:numPr>
          <w:ilvl w:val="0"/>
          <w:numId w:val="2"/>
        </w:numPr>
        <w:spacing w:before="40" w:after="40"/>
      </w:pPr>
      <w:r>
        <w:rPr>
          <w:color w:val="000000"/>
        </w:rPr>
        <w:t>If contents are still in y</w:t>
      </w:r>
      <w:r>
        <w:rPr>
          <w:color w:val="000000"/>
        </w:rPr>
        <w:t>our warehouse: possessory lien is intact — do not release. SWRS handles both the bank conversion claim and the concurrent possessory lien demand.</w:t>
      </w:r>
    </w:p>
    <w:p w:rsidR="003C6C2D" w:rsidRDefault="00CC4878">
      <w:pPr>
        <w:pStyle w:val="ListParagraph"/>
        <w:numPr>
          <w:ilvl w:val="0"/>
          <w:numId w:val="2"/>
        </w:numPr>
        <w:spacing w:before="40" w:after="40"/>
      </w:pPr>
      <w:r>
        <w:rPr>
          <w:color w:val="000000"/>
        </w:rPr>
        <w:t>If contents were already returned: possessory lien is gone. SWRS pursues via bank conversion (UCC § 3-420), co</w:t>
      </w:r>
      <w:r>
        <w:rPr>
          <w:color w:val="000000"/>
        </w:rPr>
        <w:t>nsumer collections, and regulatory complaints (CFPB, OCC, FDIC). Credit reporting available.</w:t>
      </w:r>
    </w:p>
    <w:p w:rsidR="003C6C2D" w:rsidRDefault="00CC4878">
      <w:pPr>
        <w:pStyle w:val="ListParagraph"/>
        <w:numPr>
          <w:ilvl w:val="0"/>
          <w:numId w:val="2"/>
        </w:numPr>
        <w:spacing w:before="40" w:after="40"/>
      </w:pPr>
      <w:r>
        <w:rPr>
          <w:color w:val="000000"/>
        </w:rPr>
        <w:t>Key timing: UCC bank conversion claim has a 3-year statute of limitations from the date the check was cashed — not from when you discovered it. Act immediately upo</w:t>
      </w:r>
      <w:r>
        <w:rPr>
          <w:color w:val="000000"/>
        </w:rPr>
        <w:t>n discovery.</w:t>
      </w:r>
    </w:p>
    <w:p w:rsidR="003C6C2D" w:rsidRDefault="003C6C2D">
      <w:pPr>
        <w:spacing w:before="80"/>
      </w:pPr>
    </w:p>
    <w:p w:rsidR="003C6C2D" w:rsidRDefault="00CC4878">
      <w:pPr>
        <w:pBdr>
          <w:left w:val="single" w:sz="12" w:space="0" w:color="C55A11"/>
        </w:pBdr>
        <w:shd w:val="clear" w:color="auto" w:fill="FCE4D6"/>
        <w:spacing w:before="140" w:after="140"/>
        <w:ind w:left="240" w:right="240"/>
      </w:pPr>
      <w:r>
        <w:rPr>
          <w:b/>
          <w:bCs/>
          <w:color w:val="C55A11"/>
        </w:rPr>
        <w:t>★  Call SWRS the same day you discover a two-party check was cashed without your endorsement. The regulatory complaint process is time-sensitive, and early documentation maximizes recovery probability.</w:t>
      </w:r>
    </w:p>
    <w:p w:rsidR="003C6C2D" w:rsidRDefault="003C6C2D">
      <w:pPr>
        <w:spacing w:before="100"/>
      </w:pPr>
    </w:p>
    <w:p w:rsidR="003C6C2D" w:rsidRDefault="00CC4878">
      <w:pPr>
        <w:pStyle w:val="Heading2"/>
      </w:pPr>
      <w:r>
        <w:t>Account Type 4: Commercial / TPA Account</w:t>
      </w:r>
    </w:p>
    <w:p w:rsidR="003C6C2D" w:rsidRDefault="00CC4878">
      <w:pPr>
        <w:spacing w:before="80" w:after="80"/>
      </w:pPr>
      <w:r>
        <w:rPr>
          <w:color w:val="000000"/>
        </w:rPr>
        <w:t>Pack-out and contents work billed to a Third Party Administrator, commercial property manager, or corporate payer. Possessory lien still applies to the contents in your possession.</w:t>
      </w:r>
    </w:p>
    <w:p w:rsidR="003C6C2D" w:rsidRDefault="00CC4878">
      <w:pPr>
        <w:spacing w:before="80" w:after="80"/>
      </w:pPr>
      <w:r>
        <w:rPr>
          <w:color w:val="000000"/>
        </w:rPr>
        <w:t>Trigger thresholds differ from con</w:t>
      </w:r>
      <w:r>
        <w:rPr>
          <w:color w:val="000000"/>
        </w:rPr>
        <w:t>sumer accounts:</w:t>
      </w:r>
    </w:p>
    <w:p w:rsidR="003C6C2D" w:rsidRDefault="00CC4878">
      <w:pPr>
        <w:pStyle w:val="ListParagraph"/>
        <w:numPr>
          <w:ilvl w:val="0"/>
          <w:numId w:val="2"/>
        </w:numPr>
        <w:spacing w:before="40" w:after="40"/>
      </w:pPr>
      <w:r>
        <w:rPr>
          <w:color w:val="000000"/>
        </w:rPr>
        <w:lastRenderedPageBreak/>
        <w:t>Day 30: First formal demand letter from SWRS (commercial tone — no FDCPA consumer rules apply)</w:t>
      </w:r>
    </w:p>
    <w:p w:rsidR="003C6C2D" w:rsidRDefault="00CC4878">
      <w:pPr>
        <w:pStyle w:val="ListParagraph"/>
        <w:numPr>
          <w:ilvl w:val="0"/>
          <w:numId w:val="2"/>
        </w:numPr>
        <w:spacing w:before="40" w:after="40"/>
      </w:pPr>
      <w:r>
        <w:rPr>
          <w:color w:val="000000"/>
        </w:rPr>
        <w:t>Day 45: If no payment plan agreed and contents still held: formal lien notice per state statute</w:t>
      </w:r>
    </w:p>
    <w:p w:rsidR="003C6C2D" w:rsidRDefault="00CC4878">
      <w:pPr>
        <w:pStyle w:val="ListParagraph"/>
        <w:numPr>
          <w:ilvl w:val="0"/>
          <w:numId w:val="2"/>
        </w:numPr>
        <w:spacing w:before="40" w:after="40"/>
      </w:pPr>
      <w:r>
        <w:rPr>
          <w:color w:val="000000"/>
        </w:rPr>
        <w:t>Day 60: Escalate to SWRS Tier 2 commercial AR; ev</w:t>
      </w:r>
      <w:r>
        <w:rPr>
          <w:color w:val="000000"/>
        </w:rPr>
        <w:t>aluate legal referral for accounts over $5,000</w:t>
      </w:r>
    </w:p>
    <w:p w:rsidR="003C6C2D" w:rsidRDefault="003C6C2D">
      <w:pPr>
        <w:spacing w:before="100"/>
      </w:pPr>
    </w:p>
    <w:p w:rsidR="003C6C2D" w:rsidRDefault="00CC4878">
      <w:r>
        <w:br/>
      </w:r>
    </w:p>
    <w:p w:rsidR="003C6C2D" w:rsidRDefault="00CC4878">
      <w:pPr>
        <w:pStyle w:val="Heading1"/>
        <w:pBdr>
          <w:bottom w:val="single" w:sz="6" w:space="4" w:color="2E75B6"/>
        </w:pBdr>
      </w:pPr>
      <w:r>
        <w:t>Part 3: State-by-State Best Practices</w:t>
      </w:r>
    </w:p>
    <w:p w:rsidR="003C6C2D" w:rsidRDefault="00CC4878">
      <w:pPr>
        <w:spacing w:before="80" w:after="80"/>
      </w:pPr>
      <w:r>
        <w:rPr>
          <w:color w:val="000000"/>
        </w:rPr>
        <w:t>The table below maps every state to a specific lien strength rating, recommended lien trigger date, notice period required before sale, key cautions, and the SWRS action tier. States are organized by lien strength to help owners in high-volume states prior</w:t>
      </w:r>
      <w:r>
        <w:rPr>
          <w:color w:val="000000"/>
        </w:rPr>
        <w:t>itize.</w:t>
      </w:r>
    </w:p>
    <w:p w:rsidR="003C6C2D" w:rsidRDefault="003C6C2D">
      <w:pPr>
        <w:spacing w:before="80"/>
      </w:pPr>
    </w:p>
    <w:p w:rsidR="003C6C2D" w:rsidRDefault="00CC4878">
      <w:pPr>
        <w:pStyle w:val="Heading2"/>
      </w:pPr>
      <w:r>
        <w:t>Tier Definitions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7"/>
        <w:gridCol w:w="3572"/>
        <w:gridCol w:w="4481"/>
      </w:tblGrid>
      <w:tr w:rsidR="003C6C2D">
        <w:tblPrEx>
          <w:tblCellMar>
            <w:top w:w="0" w:type="dxa"/>
            <w:bottom w:w="0" w:type="dxa"/>
          </w:tblCellMar>
        </w:tblPrEx>
        <w:trPr>
          <w:tblHeader/>
        </w:trPr>
        <w:tc>
          <w:tcPr>
            <w:tcW w:w="12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SWRS Tier</w:t>
            </w:r>
          </w:p>
        </w:tc>
        <w:tc>
          <w:tcPr>
            <w:tcW w:w="36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Description</w:t>
            </w:r>
          </w:p>
        </w:tc>
        <w:tc>
          <w:tcPr>
            <w:tcW w:w="45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Action</w:t>
            </w:r>
          </w:p>
        </w:tc>
      </w:tr>
      <w:tr w:rsidR="003C6C2D">
        <w:tblPrEx>
          <w:tblCellMar>
            <w:top w:w="0" w:type="dxa"/>
            <w:bottom w:w="0" w:type="dxa"/>
          </w:tblCellMar>
        </w:tblPrEx>
        <w:tc>
          <w:tcPr>
            <w:tcW w:w="12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vAlign w:val="center"/>
          </w:tcPr>
          <w:p w:rsidR="003C6C2D" w:rsidRDefault="00CC4878">
            <w:r>
              <w:rPr>
                <w:b/>
                <w:bCs/>
                <w:color w:val="1B3A5C"/>
                <w:sz w:val="19"/>
                <w:szCs w:val="19"/>
              </w:rPr>
              <w:t>TIER 1 — PRIORITY</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Statute explicitly names restoration/cleaning/textile services. Strongest legal footing. Sale right available.</w:t>
            </w:r>
          </w:p>
        </w:tc>
        <w:tc>
          <w:tcPr>
            <w:tcW w:w="45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Assert lien at Day 31 on deductibles. SWRS full program.</w:t>
            </w:r>
          </w:p>
        </w:tc>
      </w:tr>
      <w:tr w:rsidR="003C6C2D">
        <w:tblPrEx>
          <w:tblCellMar>
            <w:top w:w="0" w:type="dxa"/>
            <w:bottom w:w="0" w:type="dxa"/>
          </w:tblCellMar>
        </w:tblPrEx>
        <w:tc>
          <w:tcPr>
            <w:tcW w:w="12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vAlign w:val="center"/>
          </w:tcPr>
          <w:p w:rsidR="003C6C2D" w:rsidRDefault="00CC4878">
            <w:r>
              <w:rPr>
                <w:b/>
                <w:bCs/>
                <w:color w:val="375623"/>
                <w:sz w:val="19"/>
                <w:szCs w:val="19"/>
              </w:rPr>
              <w:t>TIER 2 — STRONG</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Artisan lien statute broadly covers personal property repair. No explicit restoration language but well-established case law.</w:t>
            </w:r>
          </w:p>
        </w:tc>
        <w:tc>
          <w:tcPr>
            <w:tcW w:w="45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Assert lien at Day 31–35. Verify mover's license. SWRS standard program.</w:t>
            </w:r>
          </w:p>
        </w:tc>
      </w:tr>
      <w:tr w:rsidR="003C6C2D">
        <w:tblPrEx>
          <w:tblCellMar>
            <w:top w:w="0" w:type="dxa"/>
            <w:bottom w:w="0" w:type="dxa"/>
          </w:tblCellMar>
        </w:tblPrEx>
        <w:tc>
          <w:tcPr>
            <w:tcW w:w="12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vAlign w:val="center"/>
          </w:tcPr>
          <w:p w:rsidR="003C6C2D" w:rsidRDefault="00CC4878">
            <w:r>
              <w:rPr>
                <w:b/>
                <w:bCs/>
                <w:color w:val="C9900C"/>
                <w:sz w:val="19"/>
                <w:szCs w:val="19"/>
              </w:rPr>
              <w:t>TIER 3 — STANDARD</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Possessory lien available but statute is general and/or case law is limited. Works in practice, but less explicit protection.</w:t>
            </w:r>
          </w:p>
        </w:tc>
        <w:tc>
          <w:tcPr>
            <w:tcW w:w="45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Assert lien at Day 35–45. Document authorization carefully. SWRS with attorney review on large accounts.</w:t>
            </w:r>
          </w:p>
        </w:tc>
      </w:tr>
      <w:tr w:rsidR="003C6C2D">
        <w:tblPrEx>
          <w:tblCellMar>
            <w:top w:w="0" w:type="dxa"/>
            <w:bottom w:w="0" w:type="dxa"/>
          </w:tblCellMar>
        </w:tblPrEx>
        <w:tc>
          <w:tcPr>
            <w:tcW w:w="120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vAlign w:val="center"/>
          </w:tcPr>
          <w:p w:rsidR="003C6C2D" w:rsidRDefault="00CC4878">
            <w:r>
              <w:rPr>
                <w:b/>
                <w:bCs/>
                <w:color w:val="C55A11"/>
                <w:sz w:val="19"/>
                <w:szCs w:val="19"/>
              </w:rPr>
              <w:t>TIER 4 — CAUTION</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Lien rights technically available but specific complications (mover's license, court rulings, enforcement procedure) create additional risk.</w:t>
            </w:r>
          </w:p>
        </w:tc>
        <w:tc>
          <w:tcPr>
            <w:tcW w:w="45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Assert lien only on accounts over $1,000. Consult SWRS before action. Consider attorney involvement.</w:t>
            </w:r>
          </w:p>
        </w:tc>
      </w:tr>
      <w:tr w:rsidR="003C6C2D">
        <w:tblPrEx>
          <w:tblCellMar>
            <w:top w:w="0" w:type="dxa"/>
            <w:bottom w:w="0" w:type="dxa"/>
          </w:tblCellMar>
        </w:tblPrEx>
        <w:tc>
          <w:tcPr>
            <w:tcW w:w="1200" w:type="dxa"/>
            <w:tcBorders>
              <w:top w:val="single" w:sz="4" w:space="0" w:color="D9D9D9"/>
              <w:left w:val="single" w:sz="4" w:space="0" w:color="D9D9D9"/>
              <w:bottom w:val="single" w:sz="4" w:space="0" w:color="D9D9D9"/>
              <w:right w:val="single" w:sz="4" w:space="0" w:color="D9D9D9"/>
            </w:tcBorders>
            <w:shd w:val="clear" w:color="auto" w:fill="FCE4E4"/>
            <w:tcMar>
              <w:top w:w="80" w:type="dxa"/>
              <w:left w:w="120" w:type="dxa"/>
              <w:bottom w:w="80" w:type="dxa"/>
              <w:right w:w="120" w:type="dxa"/>
            </w:tcMar>
            <w:vAlign w:val="center"/>
          </w:tcPr>
          <w:p w:rsidR="003C6C2D" w:rsidRDefault="00CC4878">
            <w:r>
              <w:rPr>
                <w:b/>
                <w:bCs/>
                <w:color w:val="C00000"/>
                <w:sz w:val="19"/>
                <w:szCs w:val="19"/>
              </w:rPr>
              <w:t>TIER 5 — CONSULT</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Court rulings or regulatory environment directly limit lien rights for restoration work, or specific procedural hurdles require attorney guidance.</w:t>
            </w:r>
          </w:p>
        </w:tc>
        <w:tc>
          <w:tcPr>
            <w:tcW w:w="45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 xml:space="preserve">Do not assert lien without SWRS and attorney review. Alternative recovery strategies may be </w:t>
            </w:r>
            <w:r>
              <w:rPr>
                <w:color w:val="000000"/>
                <w:sz w:val="19"/>
                <w:szCs w:val="19"/>
              </w:rPr>
              <w:t>superior.</w:t>
            </w:r>
          </w:p>
        </w:tc>
      </w:tr>
    </w:tbl>
    <w:p w:rsidR="003C6C2D" w:rsidRDefault="003C6C2D">
      <w:pPr>
        <w:spacing w:before="16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536"/>
        <w:gridCol w:w="1043"/>
        <w:gridCol w:w="876"/>
        <w:gridCol w:w="1189"/>
        <w:gridCol w:w="1726"/>
        <w:gridCol w:w="2990"/>
      </w:tblGrid>
      <w:tr w:rsidR="003C6C2D">
        <w:tblPrEx>
          <w:tblCellMar>
            <w:top w:w="0" w:type="dxa"/>
            <w:bottom w:w="0" w:type="dxa"/>
          </w:tblCellMar>
        </w:tblPrEx>
        <w:trPr>
          <w:tblHeader/>
        </w:trPr>
        <w:tc>
          <w:tcPr>
            <w:tcW w:w="11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tcPr>
          <w:p w:rsidR="003C6C2D" w:rsidRDefault="00CC4878">
            <w:r>
              <w:rPr>
                <w:b/>
                <w:bCs/>
                <w:color w:val="FFFFFF"/>
                <w:sz w:val="18"/>
                <w:szCs w:val="18"/>
              </w:rPr>
              <w:t>State</w:t>
            </w:r>
          </w:p>
        </w:tc>
        <w:tc>
          <w:tcPr>
            <w:tcW w:w="104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tcPr>
          <w:p w:rsidR="003C6C2D" w:rsidRDefault="00CC4878">
            <w:r>
              <w:rPr>
                <w:b/>
                <w:bCs/>
                <w:color w:val="FFFFFF"/>
                <w:sz w:val="18"/>
                <w:szCs w:val="18"/>
              </w:rPr>
              <w:t>SWRS Tier</w:t>
            </w:r>
          </w:p>
        </w:tc>
        <w:tc>
          <w:tcPr>
            <w:tcW w:w="7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tcPr>
          <w:p w:rsidR="003C6C2D" w:rsidRDefault="00CC4878">
            <w:r>
              <w:rPr>
                <w:b/>
                <w:bCs/>
                <w:color w:val="FFFFFF"/>
                <w:sz w:val="18"/>
                <w:szCs w:val="18"/>
              </w:rPr>
              <w:t>Trigger Day</w:t>
            </w:r>
          </w:p>
        </w:tc>
        <w:tc>
          <w:tcPr>
            <w:tcW w:w="7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tcPr>
          <w:p w:rsidR="003C6C2D" w:rsidRDefault="00CC4878">
            <w:r>
              <w:rPr>
                <w:b/>
                <w:bCs/>
                <w:color w:val="FFFFFF"/>
                <w:sz w:val="18"/>
                <w:szCs w:val="18"/>
              </w:rPr>
              <w:t>Notice Period</w:t>
            </w:r>
          </w:p>
        </w:tc>
        <w:tc>
          <w:tcPr>
            <w:tcW w:w="172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tcPr>
          <w:p w:rsidR="003C6C2D" w:rsidRDefault="00CC4878">
            <w:r>
              <w:rPr>
                <w:b/>
                <w:bCs/>
                <w:color w:val="FFFFFF"/>
                <w:sz w:val="18"/>
                <w:szCs w:val="18"/>
              </w:rPr>
              <w:t>Special Rule</w:t>
            </w:r>
          </w:p>
        </w:tc>
        <w:tc>
          <w:tcPr>
            <w:tcW w:w="298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tcPr>
          <w:p w:rsidR="003C6C2D" w:rsidRDefault="00CC4878">
            <w:r>
              <w:rPr>
                <w:b/>
                <w:bCs/>
                <w:color w:val="FFFFFF"/>
                <w:sz w:val="18"/>
                <w:szCs w:val="18"/>
              </w:rPr>
              <w:t>Key Caution</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t>Arizona</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certified mail</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 strong state with clear statutory language.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t>California</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certified mail</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Voluntary surrender permanently extinguishes lien (CC § 2913). Preferential over prior encumbrances.</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b/>
                <w:bCs/>
                <w:color w:val="C00000"/>
                <w:sz w:val="17"/>
                <w:szCs w:val="17"/>
              </w:rPr>
              <w:t>MOVER'S LICENSE REQUIRED. Verify CA PUC license before ANY lien assertion. Fines $5,000/violation without license.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lastRenderedPageBreak/>
              <w:t>Maine</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certified mail</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 proceed with standard program.</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t>Maryland</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 sale right after 90 days unpaid</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After 6 months of non-payment, dry cleaner/launderer may DISPOSE of goods without formal sale.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 among th</w:t>
            </w:r>
            <w:r>
              <w:rPr>
                <w:color w:val="595959"/>
                <w:sz w:val="17"/>
                <w:szCs w:val="17"/>
              </w:rPr>
              <w:t>e clearest statutory language for FRSTeam's exact services.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t>New York</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 to owner</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Major market. High job values. GC without Home Improvement Contractor license cannot foreclose mechanics lien — not relevant to possessory lien but verify licensing generally.</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specific to possessory lien — proceed with standard program.</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t>North Carolin</w:t>
            </w:r>
            <w:r>
              <w:rPr>
                <w:b/>
                <w:bCs/>
                <w:color w:val="1B3A5C"/>
                <w:sz w:val="18"/>
                <w:szCs w:val="18"/>
              </w:rPr>
              <w:t>a</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unpaid triggers enforcement right; 20 days notice before sale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NC § 44A-2(f): "Any person who improves any textile goods in the ordinary course of business... shall have a lien upon all goods." Only state with explicit textile goods language.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Strongest state in the East for textile-specific lien rights.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t>Texas</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certified mail to owner AND all lienholders of record</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Special: preferential first lien on removable personal property BEATS prior mortgages. Enforcement procedures strictly prescribed — follow exactly.</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Certified mail required. Notice must go</w:t>
            </w:r>
            <w:r>
              <w:rPr>
                <w:color w:val="595959"/>
                <w:sz w:val="17"/>
                <w:szCs w:val="17"/>
              </w:rPr>
              <w:t xml:space="preserve"> to all lienholders of record, not just homeowner. One procedural error can void enforcement rights.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8"/>
                <w:szCs w:val="18"/>
              </w:rPr>
              <w:t>Vermont</w:t>
            </w:r>
          </w:p>
        </w:tc>
        <w:tc>
          <w:tcPr>
            <w:tcW w:w="1040" w:type="dxa"/>
            <w:tcBorders>
              <w:top w:val="single" w:sz="4" w:space="0" w:color="D9D9D9"/>
              <w:left w:val="single" w:sz="4" w:space="0" w:color="D9D9D9"/>
              <w:bottom w:val="single" w:sz="4" w:space="0" w:color="D9D9D9"/>
              <w:right w:val="single" w:sz="4" w:space="0" w:color="D9D9D9"/>
            </w:tcBorders>
            <w:shd w:val="clear" w:color="auto" w:fill="D5E8F4"/>
            <w:tcMar>
              <w:top w:w="80" w:type="dxa"/>
              <w:left w:w="120" w:type="dxa"/>
              <w:bottom w:w="80" w:type="dxa"/>
              <w:right w:w="120" w:type="dxa"/>
            </w:tcMar>
          </w:tcPr>
          <w:p w:rsidR="003C6C2D" w:rsidRDefault="00CC4878">
            <w:r>
              <w:rPr>
                <w:b/>
                <w:bCs/>
                <w:color w:val="1B3A5C"/>
                <w:sz w:val="17"/>
                <w:szCs w:val="17"/>
              </w:rPr>
              <w:t>TIER 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Statutory language matches FRSTeam's services verbatim. No ambiguity.</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 proceed with standard lien program.</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Alabama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states — act fast once payment fails.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Arkansas</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Colorado</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Florida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 xml:space="preserve">Day 21 (due to 60-day notice </w:t>
            </w:r>
            <w:r>
              <w:rPr>
                <w:color w:val="000000"/>
                <w:sz w:val="17"/>
                <w:szCs w:val="17"/>
              </w:rPr>
              <w:lastRenderedPageBreak/>
              <w:t>period — start EARLY)</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lastRenderedPageBreak/>
              <w:t xml:space="preserve">60 days written notice to owner AND </w:t>
            </w:r>
            <w:r>
              <w:rPr>
                <w:color w:val="000000"/>
                <w:sz w:val="17"/>
                <w:szCs w:val="17"/>
              </w:rPr>
              <w:lastRenderedPageBreak/>
              <w:t>all lienholders of record — LONGEST IN COUNTRY</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lastRenderedPageBreak/>
              <w:t>Florida's 60-day notice period means you must start the c</w:t>
            </w:r>
            <w:r>
              <w:rPr>
                <w:color w:val="595959"/>
                <w:sz w:val="17"/>
                <w:szCs w:val="17"/>
              </w:rPr>
              <w:t xml:space="preserve">lock </w:t>
            </w:r>
            <w:r>
              <w:rPr>
                <w:color w:val="595959"/>
                <w:sz w:val="17"/>
                <w:szCs w:val="17"/>
              </w:rPr>
              <w:lastRenderedPageBreak/>
              <w:t>MUCH earlier than other states. Initiate SWRS outreach the day the job completes if payment terms are tight.</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lastRenderedPageBreak/>
              <w:t xml:space="preserve">The 60-day notice period is the longest in the country. If you wait until Day 45 to start the process, you cannot complete notice before </w:t>
            </w:r>
            <w:r>
              <w:rPr>
                <w:color w:val="595959"/>
                <w:sz w:val="17"/>
                <w:szCs w:val="17"/>
              </w:rPr>
              <w:lastRenderedPageBreak/>
              <w:t>Day 1</w:t>
            </w:r>
            <w:r>
              <w:rPr>
                <w:color w:val="595959"/>
                <w:sz w:val="17"/>
                <w:szCs w:val="17"/>
              </w:rPr>
              <w:t>05. Start at Day 21 for Florida accounts.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lastRenderedPageBreak/>
              <w:t>Georgia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is one of the shortest. Demand letter + lien notice can be sent simultaneously.</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Iowa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Kansas</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Louisiana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Civil law state — immovable vs. movable property distinction. Lien on contents (movables) is separate statute from real property lien.</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Use local Louisiana attorney for any enforcement beyond demand letters.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Mississippi</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Missouri</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Notice of Intent to Lien alone is highly effective in Missouri — frequently produces payment without full escalation.</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Nebraska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Extraordinary priority: Nebraska artisan's lien beats prior perfected security interests including mortgage. 8th Circuit BAP confirmed involuntary loss of possession does not defeat Nebraska lien.</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 strongest priority lien state in country for persona</w:t>
            </w:r>
            <w:r>
              <w:rPr>
                <w:color w:val="595959"/>
                <w:sz w:val="17"/>
                <w:szCs w:val="17"/>
              </w:rPr>
              <w:t>l property.</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North Dakota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NOI required before mechanics lien (structural only) — not relevant to possessory lien.</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Oklahoma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lastRenderedPageBreak/>
              <w:t>South Carolina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South Dakota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6-year enforcement window after filing — long leverage period.</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Virginia</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8"/>
                <w:szCs w:val="18"/>
              </w:rPr>
              <w:t>Wyoming</w:t>
            </w:r>
          </w:p>
        </w:tc>
        <w:tc>
          <w:tcPr>
            <w:tcW w:w="1040" w:type="dxa"/>
            <w:tcBorders>
              <w:top w:val="single" w:sz="4" w:space="0" w:color="D9D9D9"/>
              <w:left w:val="single" w:sz="4" w:space="0" w:color="D9D9D9"/>
              <w:bottom w:val="single" w:sz="4" w:space="0" w:color="D9D9D9"/>
              <w:right w:val="single" w:sz="4" w:space="0" w:color="D9D9D9"/>
            </w:tcBorders>
            <w:shd w:val="clear" w:color="auto" w:fill="E2EFDA"/>
            <w:tcMar>
              <w:top w:w="80" w:type="dxa"/>
              <w:left w:w="120" w:type="dxa"/>
              <w:bottom w:w="80" w:type="dxa"/>
              <w:right w:w="120" w:type="dxa"/>
            </w:tcMar>
          </w:tcPr>
          <w:p w:rsidR="003C6C2D" w:rsidRDefault="00CC4878">
            <w:r>
              <w:rPr>
                <w:b/>
                <w:bCs/>
                <w:color w:val="375623"/>
                <w:sz w:val="17"/>
                <w:szCs w:val="17"/>
              </w:rPr>
              <w:t>TIER 2</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31</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10-day notice state.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Alaska</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 standard program applies.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Connecticut</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certified mail</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DC</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15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15-day notice is shorter than most. Faster escalation available.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Delaware</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Hawaii</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Shortest mechanics lien filing deadline in country (45 days — structural work only). Possessory lien unaffected.</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specific to possessory lien.</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Idaho</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Indiana</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Kentucky</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Massachusetts</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NOI required before mechanics lien (structural only).</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specific to possessory lien.</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Michigan</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Minnesota</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 xml:space="preserve">Courts noted cleaning and moving generally not lienable for </w:t>
            </w:r>
            <w:r>
              <w:rPr>
                <w:color w:val="595959"/>
                <w:sz w:val="17"/>
                <w:szCs w:val="17"/>
              </w:rPr>
              <w:lastRenderedPageBreak/>
              <w:t>mechanics lien — possessory lien unaffected.</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lastRenderedPageBreak/>
              <w:t>None specific to possessory lien.</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Montana</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Nevada</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Nevada does not allow consequential damages in mechanics lien amounts.</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specific to possessory lien.</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New Hampshire</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NH mechanics lien law described as "unsettled" — not relevant to possessory lien.</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 proceed with standard program.</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New Jersey</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certified mail</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NJ arbitrator determines final lien amount if disputed.</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New Mexico</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Ohio</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Short mechanics lien filing window (75 days) but 6-year enforcement window — structural work only.</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specific to possessory lien.</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Pennsylvania</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Belfor Property Restoration v. Ravenwood Manor directly involves FRSTeam's parent company family. Precedent restricts mechanics lien — possessory lien unaffected.</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specific to possessory lien — standard program applies.</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Rhode Is</w:t>
            </w:r>
            <w:r>
              <w:rPr>
                <w:b/>
                <w:bCs/>
                <w:color w:val="C9900C"/>
                <w:sz w:val="18"/>
                <w:szCs w:val="18"/>
              </w:rPr>
              <w:t>land</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GC notice then 40-day enforcement window for mechanics lien (structural).</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 specific to possessory lien.</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Tennessee</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West Virginia</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8"/>
                <w:szCs w:val="18"/>
              </w:rPr>
              <w:t>Wisconsin</w:t>
            </w:r>
          </w:p>
        </w:tc>
        <w:tc>
          <w:tcPr>
            <w:tcW w:w="1040" w:type="dxa"/>
            <w:tcBorders>
              <w:top w:val="single" w:sz="4" w:space="0" w:color="D9D9D9"/>
              <w:left w:val="single" w:sz="4" w:space="0" w:color="D9D9D9"/>
              <w:bottom w:val="single" w:sz="4" w:space="0" w:color="D9D9D9"/>
              <w:right w:val="single" w:sz="4" w:space="0" w:color="D9D9D9"/>
            </w:tcBorders>
            <w:shd w:val="clear" w:color="auto" w:fill="FFF2CC"/>
            <w:tcMar>
              <w:top w:w="80" w:type="dxa"/>
              <w:left w:w="120" w:type="dxa"/>
              <w:bottom w:w="80" w:type="dxa"/>
              <w:right w:w="120" w:type="dxa"/>
            </w:tcMar>
          </w:tcPr>
          <w:p w:rsidR="003C6C2D" w:rsidRDefault="00CC4878">
            <w:r>
              <w:rPr>
                <w:b/>
                <w:bCs/>
                <w:color w:val="C9900C"/>
                <w:sz w:val="17"/>
                <w:szCs w:val="17"/>
              </w:rPr>
              <w:t>TIER 3</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35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Court procedure required for enforcement when lien amount exceeds $20.</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None.</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tcPr>
          <w:p w:rsidR="003C6C2D" w:rsidRDefault="00CC4878">
            <w:r>
              <w:rPr>
                <w:b/>
                <w:bCs/>
                <w:color w:val="C55A11"/>
                <w:sz w:val="18"/>
                <w:szCs w:val="18"/>
              </w:rPr>
              <w:lastRenderedPageBreak/>
              <w:t>Illinois</w:t>
            </w:r>
          </w:p>
        </w:tc>
        <w:tc>
          <w:tcPr>
            <w:tcW w:w="104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tcPr>
          <w:p w:rsidR="003C6C2D" w:rsidRDefault="00CC4878">
            <w:r>
              <w:rPr>
                <w:b/>
                <w:bCs/>
                <w:color w:val="C55A11"/>
                <w:sz w:val="17"/>
                <w:szCs w:val="17"/>
              </w:rPr>
              <w:t>TIER 4</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40</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 — check extended lien provisions</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Illinois has extended possessory lien provisions that MAY survive temporary loss of possession — verify before releasing contents. Courts held cleaning of stairways/grouting not lienable for mechanics liens.</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Verify extended lien provisions apply before adv</w:t>
            </w:r>
            <w:r>
              <w:rPr>
                <w:color w:val="595959"/>
                <w:sz w:val="17"/>
                <w:szCs w:val="17"/>
              </w:rPr>
              <w:t>ising release of any contents. Use attorney on accounts over $2,000.</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tcPr>
          <w:p w:rsidR="003C6C2D" w:rsidRDefault="00CC4878">
            <w:r>
              <w:rPr>
                <w:b/>
                <w:bCs/>
                <w:color w:val="C55A11"/>
                <w:sz w:val="18"/>
                <w:szCs w:val="18"/>
              </w:rPr>
              <w:t>Oregon</w:t>
            </w:r>
          </w:p>
        </w:tc>
        <w:tc>
          <w:tcPr>
            <w:tcW w:w="104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tcPr>
          <w:p w:rsidR="003C6C2D" w:rsidRDefault="00CC4878">
            <w:r>
              <w:rPr>
                <w:b/>
                <w:bCs/>
                <w:color w:val="C55A11"/>
                <w:sz w:val="17"/>
                <w:szCs w:val="17"/>
              </w:rPr>
              <w:t>TIER 4</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40</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 — verify extended lien provisions</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Oregon's artisan's lien may extend beyond possession in certain circumstances — consult attorney before releasing contents. $20,000 surety bond may be required for foreclosure.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Do not release contents without consulting SWRS. Extended possession provisions</w:t>
            </w:r>
            <w:r>
              <w:rPr>
                <w:color w:val="595959"/>
                <w:sz w:val="17"/>
                <w:szCs w:val="17"/>
              </w:rPr>
              <w:t xml:space="preserve"> may preserve rights even after temporary release — verify with attorney.</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tcPr>
          <w:p w:rsidR="003C6C2D" w:rsidRDefault="00CC4878">
            <w:r>
              <w:rPr>
                <w:b/>
                <w:bCs/>
                <w:color w:val="C55A11"/>
                <w:sz w:val="18"/>
                <w:szCs w:val="18"/>
              </w:rPr>
              <w:t>Washington</w:t>
            </w:r>
          </w:p>
        </w:tc>
        <w:tc>
          <w:tcPr>
            <w:tcW w:w="1040" w:type="dxa"/>
            <w:tcBorders>
              <w:top w:val="single" w:sz="4" w:space="0" w:color="D9D9D9"/>
              <w:left w:val="single" w:sz="4" w:space="0" w:color="D9D9D9"/>
              <w:bottom w:val="single" w:sz="4" w:space="0" w:color="D9D9D9"/>
              <w:right w:val="single" w:sz="4" w:space="0" w:color="D9D9D9"/>
            </w:tcBorders>
            <w:shd w:val="clear" w:color="auto" w:fill="FCE4D6"/>
            <w:tcMar>
              <w:top w:w="80" w:type="dxa"/>
              <w:left w:w="120" w:type="dxa"/>
              <w:bottom w:w="80" w:type="dxa"/>
              <w:right w:w="120" w:type="dxa"/>
            </w:tcMar>
          </w:tcPr>
          <w:p w:rsidR="003C6C2D" w:rsidRDefault="00CC4878">
            <w:r>
              <w:rPr>
                <w:b/>
                <w:bCs/>
                <w:color w:val="C55A11"/>
                <w:sz w:val="17"/>
                <w:szCs w:val="17"/>
              </w:rPr>
              <w:t>TIER 4</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Day 40</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30 days written notice</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WA more liberal on structural remediation. Contents restoration: standard possessory lien. Mover's license concerns apply.</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Verify household goods mover's license before asserting lien. Consult attorney on accounts over $1,500.</w:t>
            </w:r>
          </w:p>
        </w:tc>
      </w:tr>
      <w:tr w:rsidR="003C6C2D">
        <w:tblPrEx>
          <w:tblCellMar>
            <w:top w:w="0" w:type="dxa"/>
            <w:bottom w:w="0" w:type="dxa"/>
          </w:tblCellMar>
        </w:tblPrEx>
        <w:tc>
          <w:tcPr>
            <w:tcW w:w="1100" w:type="dxa"/>
            <w:tcBorders>
              <w:top w:val="single" w:sz="4" w:space="0" w:color="D9D9D9"/>
              <w:left w:val="single" w:sz="4" w:space="0" w:color="D9D9D9"/>
              <w:bottom w:val="single" w:sz="4" w:space="0" w:color="D9D9D9"/>
              <w:right w:val="single" w:sz="4" w:space="0" w:color="D9D9D9"/>
            </w:tcBorders>
            <w:shd w:val="clear" w:color="auto" w:fill="FCE4E4"/>
            <w:tcMar>
              <w:top w:w="80" w:type="dxa"/>
              <w:left w:w="120" w:type="dxa"/>
              <w:bottom w:w="80" w:type="dxa"/>
              <w:right w:w="120" w:type="dxa"/>
            </w:tcMar>
          </w:tcPr>
          <w:p w:rsidR="003C6C2D" w:rsidRDefault="00CC4878">
            <w:r>
              <w:rPr>
                <w:b/>
                <w:bCs/>
                <w:color w:val="C00000"/>
                <w:sz w:val="18"/>
                <w:szCs w:val="18"/>
              </w:rPr>
              <w:t>Utah</w:t>
            </w:r>
          </w:p>
        </w:tc>
        <w:tc>
          <w:tcPr>
            <w:tcW w:w="1040" w:type="dxa"/>
            <w:tcBorders>
              <w:top w:val="single" w:sz="4" w:space="0" w:color="D9D9D9"/>
              <w:left w:val="single" w:sz="4" w:space="0" w:color="D9D9D9"/>
              <w:bottom w:val="single" w:sz="4" w:space="0" w:color="D9D9D9"/>
              <w:right w:val="single" w:sz="4" w:space="0" w:color="D9D9D9"/>
            </w:tcBorders>
            <w:shd w:val="clear" w:color="auto" w:fill="FCE4E4"/>
            <w:tcMar>
              <w:top w:w="80" w:type="dxa"/>
              <w:left w:w="120" w:type="dxa"/>
              <w:bottom w:w="80" w:type="dxa"/>
              <w:right w:w="120" w:type="dxa"/>
            </w:tcMar>
          </w:tcPr>
          <w:p w:rsidR="003C6C2D" w:rsidRDefault="00CC4878">
            <w:r>
              <w:rPr>
                <w:b/>
                <w:bCs/>
                <w:color w:val="C00000"/>
                <w:sz w:val="17"/>
                <w:szCs w:val="17"/>
              </w:rPr>
              <w:t>TIER 5</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b/>
                <w:bCs/>
                <w:color w:val="C00000"/>
                <w:sz w:val="17"/>
                <w:szCs w:val="17"/>
              </w:rPr>
              <w:t>Consult SWRS first</w:t>
            </w:r>
          </w:p>
        </w:tc>
        <w:tc>
          <w:tcPr>
            <w:tcW w:w="7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000000"/>
                <w:sz w:val="17"/>
                <w:szCs w:val="17"/>
              </w:rPr>
              <w:t>10 days written notice (if asserting)</w:t>
            </w:r>
          </w:p>
        </w:tc>
        <w:tc>
          <w:tcPr>
            <w:tcW w:w="172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COURT RULING DIRECTLY ON RESTORATION WORK: Utah Court of Appeals held flood mitigation — water extraction, protecting furniture, drying, cleaning carpets, applying microbial agent — does NOT constitute permanent improvement. Standard is "physical annexatio</w:t>
            </w:r>
            <w:r>
              <w:rPr>
                <w:color w:val="595959"/>
                <w:sz w:val="17"/>
                <w:szCs w:val="17"/>
              </w:rPr>
              <w:t>n and physical alteration." This covers FRSTeam's typical work scope.</w:t>
            </w:r>
          </w:p>
        </w:tc>
        <w:tc>
          <w:tcPr>
            <w:tcW w:w="29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tcPr>
          <w:p w:rsidR="003C6C2D" w:rsidRDefault="00CC4878">
            <w:r>
              <w:rPr>
                <w:color w:val="595959"/>
                <w:sz w:val="17"/>
                <w:szCs w:val="17"/>
              </w:rPr>
              <w:t>Do NOT assert possessory lien for contents work without consulting SWRS and a Utah attorney. The court ruling directly limits rights in this state. Focus on consumer AR collections inste</w:t>
            </w:r>
            <w:r>
              <w:rPr>
                <w:color w:val="595959"/>
                <w:sz w:val="17"/>
                <w:szCs w:val="17"/>
              </w:rPr>
              <w:t>ad.</w:t>
            </w:r>
          </w:p>
        </w:tc>
      </w:tr>
    </w:tbl>
    <w:p w:rsidR="003C6C2D" w:rsidRDefault="003C6C2D">
      <w:pPr>
        <w:spacing w:before="160"/>
      </w:pPr>
    </w:p>
    <w:p w:rsidR="003C6C2D" w:rsidRDefault="00CC4878">
      <w:r>
        <w:br/>
      </w:r>
    </w:p>
    <w:p w:rsidR="003C6C2D" w:rsidRDefault="00CC4878">
      <w:pPr>
        <w:pStyle w:val="Heading1"/>
        <w:pBdr>
          <w:bottom w:val="single" w:sz="6" w:space="4" w:color="2E75B6"/>
        </w:pBdr>
      </w:pPr>
      <w:r>
        <w:lastRenderedPageBreak/>
        <w:t>Part 4: Pre-Lien Qualification Checklist</w:t>
      </w:r>
    </w:p>
    <w:p w:rsidR="003C6C2D" w:rsidRDefault="00CC4878">
      <w:pPr>
        <w:spacing w:before="80" w:after="80"/>
      </w:pPr>
      <w:r>
        <w:rPr>
          <w:color w:val="000000"/>
        </w:rPr>
        <w:t>Before calling SWRS to assert a possessory lien on any account, run through this checklist. SWRS will ask these questions during intake. Having answers ready accelerates response time.</w:t>
      </w:r>
    </w:p>
    <w:p w:rsidR="003C6C2D" w:rsidRDefault="003C6C2D">
      <w:pPr>
        <w:spacing w:before="80"/>
      </w:pPr>
    </w:p>
    <w:p w:rsidR="003C6C2D" w:rsidRDefault="00CC4878">
      <w:pPr>
        <w:pStyle w:val="Heading2"/>
      </w:pPr>
      <w:r>
        <w:t>Section A: Possession Verification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400"/>
        <w:gridCol w:w="3600"/>
      </w:tblGrid>
      <w:tr w:rsidR="003C6C2D">
        <w:tblPrEx>
          <w:tblCellMar>
            <w:top w:w="0" w:type="dxa"/>
            <w:bottom w:w="0" w:type="dxa"/>
          </w:tblCellMar>
        </w:tblPrEx>
        <w:trPr>
          <w:tblHeader/>
        </w:trPr>
        <w:tc>
          <w:tcPr>
            <w:tcW w:w="33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Question</w:t>
            </w:r>
          </w:p>
        </w:tc>
        <w:tc>
          <w:tcPr>
            <w:tcW w:w="24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Answer Required</w:t>
            </w:r>
          </w:p>
        </w:tc>
        <w:tc>
          <w:tcPr>
            <w:tcW w:w="36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If No</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Are the homeowner's contents currently in your physical possession?</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YES — required for lien</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Lien is not available. Proceed to Tier 2 consumer AR collections only.</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Are the contents in YOUR facility (your warehouse, not a third-party storage unit you don't control)?</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YES — you must control possession</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Verify your legal right to retain at the third-party location. May need to move contents first.</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Have any contents already been partially returned to the homeowner?</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YES = lien applies only to remaining contents</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Document exactly which items remain. Lien amount = services on items still in your possession only.</w:t>
            </w:r>
          </w:p>
        </w:tc>
      </w:tr>
    </w:tbl>
    <w:p w:rsidR="003C6C2D" w:rsidRDefault="003C6C2D">
      <w:pPr>
        <w:spacing w:before="120"/>
      </w:pPr>
    </w:p>
    <w:p w:rsidR="003C6C2D" w:rsidRDefault="00CC4878">
      <w:pPr>
        <w:pStyle w:val="Heading2"/>
      </w:pPr>
      <w:r>
        <w:t>Section B: License &amp; Authorization Verification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400"/>
        <w:gridCol w:w="3600"/>
      </w:tblGrid>
      <w:tr w:rsidR="003C6C2D">
        <w:tblPrEx>
          <w:tblCellMar>
            <w:top w:w="0" w:type="dxa"/>
            <w:bottom w:w="0" w:type="dxa"/>
          </w:tblCellMar>
        </w:tblPrEx>
        <w:trPr>
          <w:tblHeader/>
        </w:trPr>
        <w:tc>
          <w:tcPr>
            <w:tcW w:w="33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Question</w:t>
            </w:r>
          </w:p>
        </w:tc>
        <w:tc>
          <w:tcPr>
            <w:tcW w:w="24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Answer Required</w:t>
            </w:r>
          </w:p>
        </w:tc>
        <w:tc>
          <w:tcPr>
            <w:tcW w:w="36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If No / Unknown</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In what state was the pack-out performed?</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State name required</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Determine state before proceeding.</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Does your business hold a household goods mover's license in that state?</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YES strongly preferred; required in CA</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In CA: do NOT assert lien until licensed. Other states: proceed with heightened caution; note in SWRS file.</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Does your signed work authorization explicitly authorize removal of contents from the property?</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YES preferred</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Advise owner to seek retroactive written authorization from homeowner if possible. Document oral authorization if applicable.</w:t>
            </w:r>
          </w:p>
        </w:tc>
      </w:tr>
    </w:tbl>
    <w:p w:rsidR="003C6C2D" w:rsidRDefault="003C6C2D">
      <w:pPr>
        <w:spacing w:before="120"/>
      </w:pPr>
    </w:p>
    <w:p w:rsidR="003C6C2D" w:rsidRDefault="00CC4878">
      <w:pPr>
        <w:pStyle w:val="Heading2"/>
      </w:pPr>
      <w:r>
        <w:t>Section C: Account Details</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400"/>
        <w:gridCol w:w="3600"/>
      </w:tblGrid>
      <w:tr w:rsidR="003C6C2D">
        <w:tblPrEx>
          <w:tblCellMar>
            <w:top w:w="0" w:type="dxa"/>
            <w:bottom w:w="0" w:type="dxa"/>
          </w:tblCellMar>
        </w:tblPrEx>
        <w:trPr>
          <w:tblHeader/>
        </w:trPr>
        <w:tc>
          <w:tcPr>
            <w:tcW w:w="33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Question</w:t>
            </w:r>
          </w:p>
        </w:tc>
        <w:tc>
          <w:tcPr>
            <w:tcW w:w="24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Answer Required</w:t>
            </w:r>
          </w:p>
        </w:tc>
        <w:tc>
          <w:tcPr>
            <w:tcW w:w="36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Why It Matters</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Total amount due for contents restoration/cleaning specifically?</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Dollar amount</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Lien amount = contents services only, not structural. Separate invoice line required.</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Days since invoice was delivered?</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Number of days</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Determines which trigger threshold applies and which notice period is active.</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Who is the payer? (Homeowner deductible / insurance carrier / TPA / commercial)</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Payer type</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Different collection strategy applies by payer type. Carrier-side delays use AR management, not possessory lien.</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Has a two-party insurance check been issued that names FRSTeam?</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YES or NO</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 xml:space="preserve">If YES and not yet cashed: critical — document immediately. If cashed </w:t>
            </w:r>
            <w:r>
              <w:rPr>
                <w:color w:val="000000"/>
                <w:sz w:val="19"/>
                <w:szCs w:val="19"/>
              </w:rPr>
              <w:lastRenderedPageBreak/>
              <w:t>without endorsement: bank conversion track opens simultaneously.</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lastRenderedPageBreak/>
              <w:t>Has the homeowner requested return of contents?</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YES or NO</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If YES and not paid: DO NOT RELEASE. This is the trigger for immediate SWRS lien notice.</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Has the homeowner offered partial payment or a payment plan?</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YES or NO and terms</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Partial payment may allow partial release — must be structured carefully to preserve lien on remaining balance.</w:t>
            </w:r>
          </w:p>
        </w:tc>
      </w:tr>
    </w:tbl>
    <w:p w:rsidR="003C6C2D" w:rsidRDefault="003C6C2D">
      <w:pPr>
        <w:spacing w:before="120"/>
      </w:pPr>
    </w:p>
    <w:p w:rsidR="003C6C2D" w:rsidRDefault="00CC4878">
      <w:pPr>
        <w:pStyle w:val="Heading2"/>
      </w:pPr>
      <w:r>
        <w:t>Section D: Relationship Sensitivity Assessment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360"/>
        <w:gridCol w:w="2400"/>
        <w:gridCol w:w="3600"/>
      </w:tblGrid>
      <w:tr w:rsidR="003C6C2D">
        <w:tblPrEx>
          <w:tblCellMar>
            <w:top w:w="0" w:type="dxa"/>
            <w:bottom w:w="0" w:type="dxa"/>
          </w:tblCellMar>
        </w:tblPrEx>
        <w:trPr>
          <w:tblHeader/>
        </w:trPr>
        <w:tc>
          <w:tcPr>
            <w:tcW w:w="33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Question</w:t>
            </w:r>
          </w:p>
        </w:tc>
        <w:tc>
          <w:tcPr>
            <w:tcW w:w="24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Answer Required</w:t>
            </w:r>
          </w:p>
        </w:tc>
        <w:tc>
          <w:tcPr>
            <w:tcW w:w="36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Impact</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Is this homeowner referred by a national carrier with whom FRSTeam has a preferred relationship?</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Carrier name if YES</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Some national carriers have relationship guardrails. SWRS adjusts tone accordingly — lien rights are not waived but communications are cali</w:t>
            </w:r>
            <w:r>
              <w:rPr>
                <w:color w:val="000000"/>
                <w:sz w:val="19"/>
                <w:szCs w:val="19"/>
              </w:rPr>
              <w:t>brated.</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Is this a TPA-billed job where the relationship is commercial?</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YES or NO</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Commercial accounts use different tone and escalation path — not subject to FDCPA consumer rules.</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Is there an active insurance supplement dispute (carrier hasn't approved the full amount yet)?</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YES or NO</w:t>
            </w:r>
          </w:p>
        </w:tc>
        <w:tc>
          <w:tcPr>
            <w:tcW w:w="36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If YES: SWRS assists on the paid portion only. Supplement disputes require a licensed public adjuster, not SWRS.</w:t>
            </w:r>
          </w:p>
        </w:tc>
      </w:tr>
      <w:tr w:rsidR="003C6C2D">
        <w:tblPrEx>
          <w:tblCellMar>
            <w:top w:w="0" w:type="dxa"/>
            <w:bottom w:w="0" w:type="dxa"/>
          </w:tblCellMar>
        </w:tblPrEx>
        <w:tc>
          <w:tcPr>
            <w:tcW w:w="33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Has there been any prior dispute about the quality of restoration work?</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YES or NO + details</w:t>
            </w:r>
          </w:p>
        </w:tc>
        <w:tc>
          <w:tcPr>
            <w:tcW w:w="36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Disputed quality claims can be used by homeowner attorneys to challenge lien validity. Document quality evidence (photos, inventory, delivery records) before assert</w:t>
            </w:r>
            <w:r>
              <w:rPr>
                <w:color w:val="000000"/>
                <w:sz w:val="19"/>
                <w:szCs w:val="19"/>
              </w:rPr>
              <w:t>ing lien.</w:t>
            </w:r>
          </w:p>
        </w:tc>
      </w:tr>
    </w:tbl>
    <w:p w:rsidR="003C6C2D" w:rsidRDefault="003C6C2D">
      <w:pPr>
        <w:spacing w:before="160"/>
      </w:pPr>
    </w:p>
    <w:p w:rsidR="003C6C2D" w:rsidRDefault="00CC4878">
      <w:r>
        <w:br/>
      </w:r>
    </w:p>
    <w:p w:rsidR="003C6C2D" w:rsidRDefault="00CC4878">
      <w:pPr>
        <w:pStyle w:val="Heading1"/>
        <w:pBdr>
          <w:bottom w:val="single" w:sz="6" w:space="4" w:color="2E75B6"/>
        </w:pBdr>
      </w:pPr>
      <w:r>
        <w:t>Part 5: DSO Impact and Financial Case for Lien-Assisted Collections</w:t>
      </w:r>
    </w:p>
    <w:p w:rsidR="003C6C2D" w:rsidRDefault="00CC4878">
      <w:pPr>
        <w:spacing w:before="80" w:after="80"/>
      </w:pPr>
      <w:r>
        <w:rPr>
          <w:color w:val="000000"/>
        </w:rPr>
        <w:t>The possessory lien is not a last resort — it is a Day 31 tool that accelerates payment on accounts that would otherwise age into the 90–180 day bracket or be written off entirely. The financial case is straightforward.</w:t>
      </w:r>
    </w:p>
    <w:p w:rsidR="003C6C2D" w:rsidRDefault="003C6C2D">
      <w:pPr>
        <w:spacing w:before="80"/>
      </w:pPr>
    </w:p>
    <w:p w:rsidR="003C6C2D" w:rsidRDefault="00CC4878">
      <w:pPr>
        <w:pStyle w:val="Heading2"/>
      </w:pPr>
      <w:r>
        <w:t>Recovery Probability Without vs. Wi</w:t>
      </w:r>
      <w:r>
        <w:t>th Lien Assertion</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680"/>
        <w:gridCol w:w="2160"/>
        <w:gridCol w:w="2880"/>
        <w:gridCol w:w="2640"/>
      </w:tblGrid>
      <w:tr w:rsidR="003C6C2D">
        <w:tblPrEx>
          <w:tblCellMar>
            <w:top w:w="0" w:type="dxa"/>
            <w:bottom w:w="0" w:type="dxa"/>
          </w:tblCellMar>
        </w:tblPrEx>
        <w:trPr>
          <w:tblHeader/>
        </w:trPr>
        <w:tc>
          <w:tcPr>
            <w:tcW w:w="168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Account Age</w:t>
            </w:r>
          </w:p>
        </w:tc>
        <w:tc>
          <w:tcPr>
            <w:tcW w:w="21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Recovery Without Lien</w:t>
            </w:r>
          </w:p>
        </w:tc>
        <w:tc>
          <w:tcPr>
            <w:tcW w:w="288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Recovery With Lien Assertion</w:t>
            </w:r>
          </w:p>
        </w:tc>
        <w:tc>
          <w:tcPr>
            <w:tcW w:w="264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Improvement</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0–30 days</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~93%</w:t>
            </w:r>
          </w:p>
        </w:tc>
        <w:tc>
          <w:tcPr>
            <w:tcW w:w="28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~95% — lien threat prevents aging</w:t>
            </w:r>
          </w:p>
        </w:tc>
        <w:tc>
          <w:tcPr>
            <w:tcW w:w="264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Marginal — good accounts pay either way</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lastRenderedPageBreak/>
              <w:t>31–60 days</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~85%</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~91% — lien assertion at Day 31 produces payment in this window</w:t>
            </w:r>
          </w:p>
        </w:tc>
        <w:tc>
          <w:tcPr>
            <w:tcW w:w="264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+6 percentage points</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61–90 days</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~73%</w:t>
            </w:r>
          </w:p>
        </w:tc>
        <w:tc>
          <w:tcPr>
            <w:tcW w:w="28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~85% — contents still held; homeowner highly motivated</w:t>
            </w:r>
          </w:p>
        </w:tc>
        <w:tc>
          <w:tcPr>
            <w:tcW w:w="264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+12 percentage points</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91–180 days</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~52%</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~78% — lien notice + credit reporting combination</w:t>
            </w:r>
          </w:p>
        </w:tc>
        <w:tc>
          <w:tcPr>
            <w:tcW w:w="264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+26 percentage points</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181–365 days</w:t>
            </w:r>
          </w:p>
        </w:tc>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~22%</w:t>
            </w:r>
          </w:p>
        </w:tc>
        <w:tc>
          <w:tcPr>
            <w:tcW w:w="288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~55% — sale right active; credit damage threat is real</w:t>
            </w:r>
          </w:p>
        </w:tc>
        <w:tc>
          <w:tcPr>
            <w:tcW w:w="264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+33 percentage points</w:t>
            </w:r>
          </w:p>
        </w:tc>
      </w:tr>
      <w:tr w:rsidR="003C6C2D">
        <w:tblPrEx>
          <w:tblCellMar>
            <w:top w:w="0" w:type="dxa"/>
            <w:bottom w:w="0" w:type="dxa"/>
          </w:tblCellMar>
        </w:tblPrEx>
        <w:tc>
          <w:tcPr>
            <w:tcW w:w="16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Over 1 year</w:t>
            </w:r>
          </w:p>
        </w:tc>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~10%</w:t>
            </w:r>
          </w:p>
        </w:tc>
        <w:tc>
          <w:tcPr>
            <w:tcW w:w="288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~35% — if contents still held; much lower if released</w:t>
            </w:r>
          </w:p>
        </w:tc>
        <w:tc>
          <w:tcPr>
            <w:tcW w:w="264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+25 percentage points</w:t>
            </w:r>
          </w:p>
        </w:tc>
      </w:tr>
    </w:tbl>
    <w:p w:rsidR="003C6C2D" w:rsidRDefault="003C6C2D">
      <w:pPr>
        <w:spacing w:before="120"/>
      </w:pPr>
    </w:p>
    <w:p w:rsidR="003C6C2D" w:rsidRDefault="00CC4878">
      <w:pPr>
        <w:pStyle w:val="Heading2"/>
      </w:pPr>
      <w:r>
        <w:t>Working Capital Impact Calculator</w:t>
      </w:r>
    </w:p>
    <w:p w:rsidR="003C6C2D" w:rsidRDefault="00CC4878">
      <w:pPr>
        <w:spacing w:before="80" w:after="80"/>
      </w:pPr>
      <w:r>
        <w:rPr>
          <w:color w:val="000000"/>
        </w:rPr>
        <w:t>For a FRSTeam location with average gross revenue of $2,223,514 (per FDD disclosure):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60"/>
        <w:gridCol w:w="2400"/>
        <w:gridCol w:w="2400"/>
        <w:gridCol w:w="2400"/>
      </w:tblGrid>
      <w:tr w:rsidR="003C6C2D">
        <w:tblPrEx>
          <w:tblCellMar>
            <w:top w:w="0" w:type="dxa"/>
            <w:bottom w:w="0" w:type="dxa"/>
          </w:tblCellMar>
        </w:tblPrEx>
        <w:trPr>
          <w:tblHeader/>
        </w:trPr>
        <w:tc>
          <w:tcPr>
            <w:tcW w:w="216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Metric</w:t>
            </w:r>
          </w:p>
        </w:tc>
        <w:tc>
          <w:tcPr>
            <w:tcW w:w="24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Baseline (No Lien Program)</w:t>
            </w:r>
          </w:p>
        </w:tc>
        <w:tc>
          <w:tcPr>
            <w:tcW w:w="24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With SWRS Lien Program</w:t>
            </w:r>
          </w:p>
        </w:tc>
        <w:tc>
          <w:tcPr>
            <w:tcW w:w="2400" w:type="dxa"/>
            <w:tcBorders>
              <w:top w:val="single" w:sz="4" w:space="0" w:color="1B3A5C"/>
              <w:left w:val="single" w:sz="4" w:space="0" w:color="1B3A5C"/>
              <w:bottom w:val="single" w:sz="4" w:space="0" w:color="1B3A5C"/>
              <w:right w:val="single" w:sz="4" w:space="0" w:color="1B3A5C"/>
            </w:tcBorders>
            <w:shd w:val="clear" w:color="auto" w:fill="1B3A5C"/>
            <w:tcMar>
              <w:top w:w="80" w:type="dxa"/>
              <w:left w:w="120" w:type="dxa"/>
              <w:bottom w:w="80" w:type="dxa"/>
              <w:right w:w="120" w:type="dxa"/>
            </w:tcMar>
            <w:vAlign w:val="center"/>
          </w:tcPr>
          <w:p w:rsidR="003C6C2D" w:rsidRDefault="00CC4878">
            <w:r>
              <w:rPr>
                <w:b/>
                <w:bCs/>
                <w:color w:val="FFFFFF"/>
                <w:sz w:val="19"/>
                <w:szCs w:val="19"/>
              </w:rPr>
              <w:t>Annual Impact</w:t>
            </w:r>
          </w:p>
        </w:tc>
      </w:tr>
      <w:tr w:rsidR="003C6C2D">
        <w:tblPrEx>
          <w:tblCellMar>
            <w:top w:w="0" w:type="dxa"/>
            <w:bottom w:w="0" w:type="dxa"/>
          </w:tblCellMar>
        </w:tblPrEx>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Average DSO</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85 days</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55 days</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30-day improvement</w:t>
            </w:r>
          </w:p>
        </w:tc>
      </w:tr>
      <w:tr w:rsidR="003C6C2D">
        <w:tblPrEx>
          <w:tblCellMar>
            <w:top w:w="0" w:type="dxa"/>
            <w:bottom w:w="0" w:type="dxa"/>
          </w:tblCellMar>
        </w:tblPrEx>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Average daily revenue</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$6,092</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$6,092</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No change</w:t>
            </w:r>
          </w:p>
        </w:tc>
      </w:tr>
      <w:tr w:rsidR="003C6C2D">
        <w:tblPrEx>
          <w:tblCellMar>
            <w:top w:w="0" w:type="dxa"/>
            <w:bottom w:w="0" w:type="dxa"/>
          </w:tblCellMar>
        </w:tblPrEx>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Working capital freed</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Baseline</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+$182,760</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$182,760 additional cash available annually</w:t>
            </w:r>
          </w:p>
        </w:tc>
      </w:tr>
      <w:tr w:rsidR="003C6C2D">
        <w:tblPrEx>
          <w:tblCellMar>
            <w:top w:w="0" w:type="dxa"/>
            <w:bottom w:w="0" w:type="dxa"/>
          </w:tblCellMar>
        </w:tblPrEx>
        <w:tc>
          <w:tcPr>
            <w:tcW w:w="216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Deductible recovery rate</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~55%</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~82%</w:t>
            </w:r>
          </w:p>
        </w:tc>
        <w:tc>
          <w:tcPr>
            <w:tcW w:w="2400" w:type="dxa"/>
            <w:tcBorders>
              <w:top w:val="single" w:sz="4" w:space="0" w:color="D9D9D9"/>
              <w:left w:val="single" w:sz="4" w:space="0" w:color="D9D9D9"/>
              <w:bottom w:val="single" w:sz="4" w:space="0" w:color="D9D9D9"/>
              <w:right w:val="single" w:sz="4" w:space="0" w:color="D9D9D9"/>
            </w:tcBorders>
            <w:shd w:val="clear" w:color="auto" w:fill="F2F2F2"/>
            <w:tcMar>
              <w:top w:w="80" w:type="dxa"/>
              <w:left w:w="120" w:type="dxa"/>
              <w:bottom w:w="80" w:type="dxa"/>
              <w:right w:w="120" w:type="dxa"/>
            </w:tcMar>
            <w:vAlign w:val="center"/>
          </w:tcPr>
          <w:p w:rsidR="003C6C2D" w:rsidRDefault="00CC4878">
            <w:r>
              <w:rPr>
                <w:color w:val="000000"/>
                <w:sz w:val="19"/>
                <w:szCs w:val="19"/>
              </w:rPr>
              <w:t>+27 percentage points on deductible accounts</w:t>
            </w:r>
          </w:p>
        </w:tc>
      </w:tr>
      <w:tr w:rsidR="003C6C2D">
        <w:tblPrEx>
          <w:tblCellMar>
            <w:top w:w="0" w:type="dxa"/>
            <w:bottom w:w="0" w:type="dxa"/>
          </w:tblCellMar>
        </w:tblPrEx>
        <w:tc>
          <w:tcPr>
            <w:tcW w:w="216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Annual network-wide deductible leakage (13,000 jobs)</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$3.25M (est.)</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$1.1M (est.)</w:t>
            </w:r>
          </w:p>
        </w:tc>
        <w:tc>
          <w:tcPr>
            <w:tcW w:w="2400" w:type="dxa"/>
            <w:tcBorders>
              <w:top w:val="single" w:sz="4" w:space="0" w:color="D9D9D9"/>
              <w:left w:val="single" w:sz="4" w:space="0" w:color="D9D9D9"/>
              <w:bottom w:val="single" w:sz="4" w:space="0" w:color="D9D9D9"/>
              <w:right w:val="single" w:sz="4" w:space="0" w:color="D9D9D9"/>
            </w:tcBorders>
            <w:shd w:val="clear" w:color="auto" w:fill="FFFFFF"/>
            <w:tcMar>
              <w:top w:w="80" w:type="dxa"/>
              <w:left w:w="120" w:type="dxa"/>
              <w:bottom w:w="80" w:type="dxa"/>
              <w:right w:w="120" w:type="dxa"/>
            </w:tcMar>
            <w:vAlign w:val="center"/>
          </w:tcPr>
          <w:p w:rsidR="003C6C2D" w:rsidRDefault="00CC4878">
            <w:r>
              <w:rPr>
                <w:color w:val="000000"/>
                <w:sz w:val="19"/>
                <w:szCs w:val="19"/>
              </w:rPr>
              <w:t>$2.15M recovered annually across network</w:t>
            </w:r>
          </w:p>
        </w:tc>
      </w:tr>
    </w:tbl>
    <w:p w:rsidR="003C6C2D" w:rsidRDefault="003C6C2D">
      <w:pPr>
        <w:spacing w:before="120"/>
      </w:pPr>
    </w:p>
    <w:p w:rsidR="003C6C2D" w:rsidRDefault="00CC4878">
      <w:pPr>
        <w:pBdr>
          <w:left w:val="single" w:sz="12" w:space="0" w:color="2E75B6"/>
        </w:pBdr>
        <w:shd w:val="clear" w:color="auto" w:fill="D5E8F4"/>
        <w:spacing w:before="160" w:after="160"/>
        <w:ind w:left="240" w:right="240"/>
      </w:pPr>
      <w:r>
        <w:rPr>
          <w:b/>
          <w:bCs/>
          <w:color w:val="1B3A5C"/>
        </w:rPr>
        <w:t>Key Message for Owners: The possessory lien is not about being aggressive. It is about not giving away leverage you already have by law. You held those contents. You did that work. The law gave you the right to retain them until paid. The owners who collec</w:t>
      </w:r>
      <w:r>
        <w:rPr>
          <w:b/>
          <w:bCs/>
          <w:color w:val="1B3A5C"/>
        </w:rPr>
        <w:t>t the most are not the ones who are toughest — they are the ones who simply call SWRS before releasing the contents.</w:t>
      </w:r>
    </w:p>
    <w:p w:rsidR="003C6C2D" w:rsidRDefault="003C6C2D">
      <w:pPr>
        <w:spacing w:before="160"/>
      </w:pPr>
    </w:p>
    <w:p w:rsidR="003C6C2D" w:rsidRDefault="00CC4878">
      <w:r>
        <w:br/>
      </w:r>
    </w:p>
    <w:p w:rsidR="003C6C2D" w:rsidRDefault="00CC4878">
      <w:pPr>
        <w:pStyle w:val="Heading1"/>
        <w:pBdr>
          <w:bottom w:val="single" w:sz="6" w:space="4" w:color="2E75B6"/>
        </w:pBdr>
      </w:pPr>
      <w:r>
        <w:t>Quick Reference: The Five Rules Every Owner Must Know</w:t>
      </w:r>
    </w:p>
    <w:p w:rsidR="003C6C2D" w:rsidRDefault="003C6C2D">
      <w:pPr>
        <w:spacing w:before="80"/>
      </w:pPr>
    </w:p>
    <w:p w:rsidR="003C6C2D" w:rsidRDefault="00CC4878">
      <w:pPr>
        <w:pBdr>
          <w:left w:val="single" w:sz="12" w:space="0" w:color="375623"/>
        </w:pBdr>
        <w:shd w:val="clear" w:color="auto" w:fill="E2EFDA"/>
        <w:spacing w:before="140" w:after="140"/>
        <w:ind w:left="240" w:right="240"/>
      </w:pPr>
      <w:r>
        <w:rPr>
          <w:b/>
          <w:bCs/>
          <w:color w:val="375623"/>
        </w:rPr>
        <w:t>✔</w:t>
      </w:r>
      <w:r>
        <w:rPr>
          <w:b/>
          <w:bCs/>
          <w:color w:val="375623"/>
        </w:rPr>
        <w:t xml:space="preserve">  RULE 1: Call SWRS BEFORE releasing contents to anyone who has not paid. Once released, the lien is gone in most states. This call takes 5 minutes. Losing the lien can cost thousands.</w:t>
      </w:r>
    </w:p>
    <w:p w:rsidR="003C6C2D" w:rsidRDefault="003C6C2D">
      <w:pPr>
        <w:spacing w:before="60"/>
      </w:pPr>
    </w:p>
    <w:p w:rsidR="003C6C2D" w:rsidRDefault="00CC4878">
      <w:pPr>
        <w:pBdr>
          <w:left w:val="single" w:sz="12" w:space="0" w:color="375623"/>
        </w:pBdr>
        <w:shd w:val="clear" w:color="auto" w:fill="E2EFDA"/>
        <w:spacing w:before="140" w:after="140"/>
        <w:ind w:left="240" w:right="240"/>
      </w:pPr>
      <w:r>
        <w:rPr>
          <w:b/>
          <w:bCs/>
          <w:color w:val="375623"/>
        </w:rPr>
        <w:lastRenderedPageBreak/>
        <w:t>✔</w:t>
      </w:r>
      <w:r>
        <w:rPr>
          <w:b/>
          <w:bCs/>
          <w:color w:val="375623"/>
        </w:rPr>
        <w:t xml:space="preserve">  RULE 2: Your work authorization must say you are authorized to rem</w:t>
      </w:r>
      <w:r>
        <w:rPr>
          <w:b/>
          <w:bCs/>
          <w:color w:val="375623"/>
        </w:rPr>
        <w:t>ove and retain contents. If it does not, add this language to your next job before work begins.</w:t>
      </w:r>
    </w:p>
    <w:p w:rsidR="003C6C2D" w:rsidRDefault="003C6C2D">
      <w:pPr>
        <w:spacing w:before="60"/>
      </w:pPr>
    </w:p>
    <w:p w:rsidR="003C6C2D" w:rsidRDefault="00CC4878">
      <w:pPr>
        <w:pBdr>
          <w:left w:val="single" w:sz="12" w:space="0" w:color="C55A11"/>
        </w:pBdr>
        <w:shd w:val="clear" w:color="auto" w:fill="FCE4D6"/>
        <w:spacing w:before="140" w:after="140"/>
        <w:ind w:left="240" w:right="240"/>
      </w:pPr>
      <w:r>
        <w:rPr>
          <w:b/>
          <w:bCs/>
          <w:color w:val="C55A11"/>
        </w:rPr>
        <w:t>★  RULE 3: In California, verify your CA PUC mover's license before asserting any lien. Without it, attorneys have grounds to challenge your possession. Call S</w:t>
      </w:r>
      <w:r>
        <w:rPr>
          <w:b/>
          <w:bCs/>
          <w:color w:val="C55A11"/>
        </w:rPr>
        <w:t>WRS first.</w:t>
      </w:r>
    </w:p>
    <w:p w:rsidR="003C6C2D" w:rsidRDefault="003C6C2D">
      <w:pPr>
        <w:spacing w:before="60"/>
      </w:pPr>
    </w:p>
    <w:p w:rsidR="003C6C2D" w:rsidRDefault="00CC4878">
      <w:pPr>
        <w:pBdr>
          <w:left w:val="single" w:sz="12" w:space="0" w:color="C00000"/>
        </w:pBdr>
        <w:shd w:val="clear" w:color="auto" w:fill="FCE4E4"/>
        <w:spacing w:before="140" w:after="140"/>
        <w:ind w:left="240" w:right="240"/>
      </w:pPr>
      <w:r>
        <w:rPr>
          <w:b/>
          <w:bCs/>
          <w:color w:val="C00000"/>
        </w:rPr>
        <w:t>⚠</w:t>
      </w:r>
      <w:r>
        <w:rPr>
          <w:b/>
          <w:bCs/>
          <w:color w:val="C00000"/>
        </w:rPr>
        <w:t xml:space="preserve">  RULE 4: You can only hold contents for the amount owed on the restoration of those specific contents. Do not hold a homeowner's contents for an unrelated structural balance. Invoice line items must be separate.</w:t>
      </w:r>
    </w:p>
    <w:p w:rsidR="003C6C2D" w:rsidRDefault="003C6C2D">
      <w:pPr>
        <w:spacing w:before="60"/>
      </w:pPr>
    </w:p>
    <w:p w:rsidR="003C6C2D" w:rsidRDefault="00CC4878">
      <w:pPr>
        <w:pBdr>
          <w:left w:val="single" w:sz="12" w:space="0" w:color="375623"/>
        </w:pBdr>
        <w:shd w:val="clear" w:color="auto" w:fill="E2EFDA"/>
        <w:spacing w:before="140" w:after="140"/>
        <w:ind w:left="240" w:right="240"/>
      </w:pPr>
      <w:r>
        <w:rPr>
          <w:b/>
          <w:bCs/>
          <w:color w:val="375623"/>
        </w:rPr>
        <w:t>✔</w:t>
      </w:r>
      <w:r>
        <w:rPr>
          <w:b/>
          <w:bCs/>
          <w:color w:val="375623"/>
        </w:rPr>
        <w:t xml:space="preserve">  RULE 5: In Florida, start </w:t>
      </w:r>
      <w:r>
        <w:rPr>
          <w:b/>
          <w:bCs/>
          <w:color w:val="375623"/>
        </w:rPr>
        <w:t>SWRS outreach at Day 21 — not Day 45. Florida's 60-day notice period is the longest in the country. Late starts mean late collections or missed sale rights.</w:t>
      </w:r>
    </w:p>
    <w:p w:rsidR="003C6C2D" w:rsidRDefault="003C6C2D">
      <w:pPr>
        <w:spacing w:before="160"/>
      </w:pPr>
    </w:p>
    <w:p w:rsidR="003C6C2D" w:rsidRDefault="00CC4878">
      <w:pPr>
        <w:pBdr>
          <w:top w:val="single" w:sz="6" w:space="4" w:color="2E75B6"/>
        </w:pBdr>
        <w:spacing w:before="200" w:after="80"/>
        <w:jc w:val="center"/>
      </w:pPr>
      <w:r>
        <w:rPr>
          <w:color w:val="595959"/>
          <w:sz w:val="18"/>
          <w:szCs w:val="18"/>
        </w:rPr>
        <w:t>SW Recovery Services  |  swrecovery.com  |  866-551-4684  |  sdietz@swrecovery.com  |  Addison, TX</w:t>
      </w:r>
      <w:r>
        <w:rPr>
          <w:color w:val="595959"/>
          <w:sz w:val="18"/>
          <w:szCs w:val="18"/>
        </w:rPr>
        <w:t xml:space="preserve"> 75001</w:t>
      </w:r>
    </w:p>
    <w:p w:rsidR="003C6C2D" w:rsidRDefault="00CC4878">
      <w:pPr>
        <w:spacing w:after="80"/>
        <w:jc w:val="center"/>
      </w:pPr>
      <w:r>
        <w:rPr>
          <w:color w:val="595959"/>
          <w:sz w:val="18"/>
          <w:szCs w:val="18"/>
        </w:rPr>
        <w:t>FRSTeam × SWRS Possessory Lien Best Practices Guide  |  Version 1.0  |  April 2026</w:t>
      </w:r>
    </w:p>
    <w:p w:rsidR="003C6C2D" w:rsidRDefault="00CC4878">
      <w:pPr>
        <w:spacing w:after="80"/>
        <w:jc w:val="center"/>
      </w:pPr>
      <w:r>
        <w:rPr>
          <w:i/>
          <w:iCs/>
          <w:color w:val="595959"/>
          <w:sz w:val="17"/>
          <w:szCs w:val="17"/>
        </w:rPr>
        <w:t>DISCLAIMER: For business planning purposes only. Does not constitute legal advice. Verify with a licensed attorney in your state before asserting any lien.</w:t>
      </w:r>
    </w:p>
    <w:sectPr w:rsidR="003C6C2D">
      <w:headerReference w:type="default" r:id="rId7"/>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CC4878">
      <w:r>
        <w:separator/>
      </w:r>
    </w:p>
  </w:endnote>
  <w:endnote w:type="continuationSeparator" w:id="0">
    <w:p w:rsidR="00000000" w:rsidRDefault="00CC48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CC4878">
      <w:r>
        <w:separator/>
      </w:r>
    </w:p>
  </w:footnote>
  <w:footnote w:type="continuationSeparator" w:id="0">
    <w:p w:rsidR="00000000" w:rsidRDefault="00CC487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C6C2D" w:rsidRDefault="00CC4878">
    <w:pPr>
      <w:pBdr>
        <w:bottom w:val="single" w:sz="4" w:space="0" w:color="D9D9D9"/>
      </w:pBdr>
      <w:jc w:val="right"/>
    </w:pPr>
    <w:r>
      <w:rPr>
        <w:color w:val="595959"/>
        <w:sz w:val="16"/>
        <w:szCs w:val="16"/>
      </w:rPr>
      <w:t xml:space="preserve">FRSTeam × SWRS  |  Possessory Lien Best Practices Guide  |  Page </w:t>
    </w:r>
    <w:r>
      <w:rPr>
        <w:color w:val="595959"/>
        <w:sz w:val="16"/>
        <w:szCs w:val="16"/>
      </w:rPr>
      <w:fldChar w:fldCharType="begin"/>
    </w:r>
    <w:r>
      <w:rPr>
        <w:color w:val="595959"/>
        <w:sz w:val="16"/>
        <w:szCs w:val="16"/>
      </w:rPr>
      <w:instrText>PAGE</w:instrText>
    </w:r>
    <w:r>
      <w:rPr>
        <w:color w:val="595959"/>
        <w:sz w:val="16"/>
        <w:szCs w:val="16"/>
      </w:rPr>
      <w:fldChar w:fldCharType="separate"/>
    </w:r>
    <w:r>
      <w:rPr>
        <w:noProof/>
        <w:color w:val="595959"/>
        <w:sz w:val="16"/>
        <w:szCs w:val="16"/>
      </w:rPr>
      <w:t>1</w:t>
    </w:r>
    <w:r>
      <w:rPr>
        <w:color w:val="595959"/>
        <w:sz w:val="16"/>
        <w:szCs w:val="1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FF721E"/>
    <w:multiLevelType w:val="hybridMultilevel"/>
    <w:tmpl w:val="6B5C3576"/>
    <w:lvl w:ilvl="0" w:tplc="73888442">
      <w:start w:val="1"/>
      <w:numFmt w:val="bullet"/>
      <w:lvlText w:val="●"/>
      <w:lvlJc w:val="left"/>
      <w:pPr>
        <w:ind w:left="720" w:hanging="360"/>
      </w:pPr>
    </w:lvl>
    <w:lvl w:ilvl="1" w:tplc="6AAE0668">
      <w:start w:val="1"/>
      <w:numFmt w:val="bullet"/>
      <w:lvlText w:val="○"/>
      <w:lvlJc w:val="left"/>
      <w:pPr>
        <w:ind w:left="1440" w:hanging="360"/>
      </w:pPr>
    </w:lvl>
    <w:lvl w:ilvl="2" w:tplc="41B05EB0">
      <w:start w:val="1"/>
      <w:numFmt w:val="bullet"/>
      <w:lvlText w:val="■"/>
      <w:lvlJc w:val="left"/>
      <w:pPr>
        <w:ind w:left="2160" w:hanging="360"/>
      </w:pPr>
    </w:lvl>
    <w:lvl w:ilvl="3" w:tplc="EC981744">
      <w:start w:val="1"/>
      <w:numFmt w:val="bullet"/>
      <w:lvlText w:val="●"/>
      <w:lvlJc w:val="left"/>
      <w:pPr>
        <w:ind w:left="2880" w:hanging="360"/>
      </w:pPr>
    </w:lvl>
    <w:lvl w:ilvl="4" w:tplc="E3722CFE">
      <w:start w:val="1"/>
      <w:numFmt w:val="bullet"/>
      <w:lvlText w:val="○"/>
      <w:lvlJc w:val="left"/>
      <w:pPr>
        <w:ind w:left="3600" w:hanging="360"/>
      </w:pPr>
    </w:lvl>
    <w:lvl w:ilvl="5" w:tplc="6F00E0E2">
      <w:start w:val="1"/>
      <w:numFmt w:val="bullet"/>
      <w:lvlText w:val="■"/>
      <w:lvlJc w:val="left"/>
      <w:pPr>
        <w:ind w:left="4320" w:hanging="360"/>
      </w:pPr>
    </w:lvl>
    <w:lvl w:ilvl="6" w:tplc="FAAA15E4">
      <w:start w:val="1"/>
      <w:numFmt w:val="bullet"/>
      <w:lvlText w:val="●"/>
      <w:lvlJc w:val="left"/>
      <w:pPr>
        <w:ind w:left="5040" w:hanging="360"/>
      </w:pPr>
    </w:lvl>
    <w:lvl w:ilvl="7" w:tplc="4918A86E">
      <w:start w:val="1"/>
      <w:numFmt w:val="bullet"/>
      <w:lvlText w:val="●"/>
      <w:lvlJc w:val="left"/>
      <w:pPr>
        <w:ind w:left="5760" w:hanging="360"/>
      </w:pPr>
    </w:lvl>
    <w:lvl w:ilvl="8" w:tplc="2304DAC0">
      <w:start w:val="1"/>
      <w:numFmt w:val="bullet"/>
      <w:lvlText w:val="●"/>
      <w:lvlJc w:val="left"/>
      <w:pPr>
        <w:ind w:left="6480" w:hanging="360"/>
      </w:pPr>
    </w:lvl>
  </w:abstractNum>
  <w:abstractNum w:abstractNumId="1" w15:restartNumberingAfterBreak="0">
    <w:nsid w:val="33F31D52"/>
    <w:multiLevelType w:val="hybridMultilevel"/>
    <w:tmpl w:val="09B81758"/>
    <w:lvl w:ilvl="0" w:tplc="032022AA">
      <w:start w:val="1"/>
      <w:numFmt w:val="decimal"/>
      <w:lvlText w:val="%1."/>
      <w:lvlJc w:val="left"/>
      <w:pPr>
        <w:ind w:left="720" w:hanging="360"/>
      </w:pPr>
    </w:lvl>
    <w:lvl w:ilvl="1" w:tplc="37CE2236">
      <w:numFmt w:val="decimal"/>
      <w:lvlText w:val=""/>
      <w:lvlJc w:val="left"/>
    </w:lvl>
    <w:lvl w:ilvl="2" w:tplc="EE280000">
      <w:numFmt w:val="decimal"/>
      <w:lvlText w:val=""/>
      <w:lvlJc w:val="left"/>
    </w:lvl>
    <w:lvl w:ilvl="3" w:tplc="4400267A">
      <w:numFmt w:val="decimal"/>
      <w:lvlText w:val=""/>
      <w:lvlJc w:val="left"/>
    </w:lvl>
    <w:lvl w:ilvl="4" w:tplc="6FA20A16">
      <w:numFmt w:val="decimal"/>
      <w:lvlText w:val=""/>
      <w:lvlJc w:val="left"/>
    </w:lvl>
    <w:lvl w:ilvl="5" w:tplc="5D2E4944">
      <w:numFmt w:val="decimal"/>
      <w:lvlText w:val=""/>
      <w:lvlJc w:val="left"/>
    </w:lvl>
    <w:lvl w:ilvl="6" w:tplc="240652A6">
      <w:numFmt w:val="decimal"/>
      <w:lvlText w:val=""/>
      <w:lvlJc w:val="left"/>
    </w:lvl>
    <w:lvl w:ilvl="7" w:tplc="0CB4B898">
      <w:numFmt w:val="decimal"/>
      <w:lvlText w:val=""/>
      <w:lvlJc w:val="left"/>
    </w:lvl>
    <w:lvl w:ilvl="8" w:tplc="1E920A1C">
      <w:numFmt w:val="decimal"/>
      <w:lvlText w:val=""/>
      <w:lvlJc w:val="left"/>
    </w:lvl>
  </w:abstractNum>
  <w:abstractNum w:abstractNumId="2" w15:restartNumberingAfterBreak="0">
    <w:nsid w:val="44DE2B75"/>
    <w:multiLevelType w:val="hybridMultilevel"/>
    <w:tmpl w:val="A0FA2B78"/>
    <w:lvl w:ilvl="0" w:tplc="E2C43290">
      <w:start w:val="1"/>
      <w:numFmt w:val="bullet"/>
      <w:lvlText w:val="•"/>
      <w:lvlJc w:val="left"/>
      <w:pPr>
        <w:ind w:left="720" w:hanging="360"/>
      </w:pPr>
    </w:lvl>
    <w:lvl w:ilvl="1" w:tplc="1F380030">
      <w:numFmt w:val="decimal"/>
      <w:lvlText w:val=""/>
      <w:lvlJc w:val="left"/>
    </w:lvl>
    <w:lvl w:ilvl="2" w:tplc="A8F8B60A">
      <w:numFmt w:val="decimal"/>
      <w:lvlText w:val=""/>
      <w:lvlJc w:val="left"/>
    </w:lvl>
    <w:lvl w:ilvl="3" w:tplc="2C06640C">
      <w:numFmt w:val="decimal"/>
      <w:lvlText w:val=""/>
      <w:lvlJc w:val="left"/>
    </w:lvl>
    <w:lvl w:ilvl="4" w:tplc="9E3620BE">
      <w:numFmt w:val="decimal"/>
      <w:lvlText w:val=""/>
      <w:lvlJc w:val="left"/>
    </w:lvl>
    <w:lvl w:ilvl="5" w:tplc="91D04620">
      <w:numFmt w:val="decimal"/>
      <w:lvlText w:val=""/>
      <w:lvlJc w:val="left"/>
    </w:lvl>
    <w:lvl w:ilvl="6" w:tplc="D116CBAE">
      <w:numFmt w:val="decimal"/>
      <w:lvlText w:val=""/>
      <w:lvlJc w:val="left"/>
    </w:lvl>
    <w:lvl w:ilvl="7" w:tplc="4F62C826">
      <w:numFmt w:val="decimal"/>
      <w:lvlText w:val=""/>
      <w:lvlJc w:val="left"/>
    </w:lvl>
    <w:lvl w:ilvl="8" w:tplc="0FB88074">
      <w:numFmt w:val="decimal"/>
      <w:lvlText w:val=""/>
      <w:lvlJc w:val="left"/>
    </w:lvl>
  </w:abstractNum>
  <w:num w:numId="1">
    <w:abstractNumId w:val="0"/>
    <w:lvlOverride w:ilvl="0">
      <w:startOverride w:val="1"/>
    </w:lvlOverride>
  </w:num>
  <w:num w:numId="2">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C2D"/>
    <w:rsid w:val="003C6C2D"/>
    <w:rsid w:val="00CC48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57BFC6F-BA45-478C-904C-DC9BDF7E2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uiPriority w:val="9"/>
    <w:qFormat/>
    <w:pPr>
      <w:spacing w:before="400" w:after="160"/>
      <w:outlineLvl w:val="0"/>
    </w:pPr>
    <w:rPr>
      <w:b/>
      <w:bCs/>
      <w:color w:val="1B3A5C"/>
      <w:sz w:val="32"/>
      <w:szCs w:val="32"/>
    </w:rPr>
  </w:style>
  <w:style w:type="paragraph" w:styleId="Heading2">
    <w:name w:val="heading 2"/>
    <w:uiPriority w:val="9"/>
    <w:unhideWhenUsed/>
    <w:qFormat/>
    <w:pPr>
      <w:spacing w:before="280" w:after="120"/>
      <w:outlineLvl w:val="1"/>
    </w:pPr>
    <w:rPr>
      <w:b/>
      <w:bCs/>
      <w:color w:val="2E75B6"/>
      <w:sz w:val="26"/>
      <w:szCs w:val="26"/>
    </w:rPr>
  </w:style>
  <w:style w:type="paragraph" w:styleId="Heading3">
    <w:name w:val="heading 3"/>
    <w:uiPriority w:val="9"/>
    <w:unhideWhenUsed/>
    <w:qFormat/>
    <w:pPr>
      <w:spacing w:before="200" w:after="80"/>
      <w:outlineLvl w:val="2"/>
    </w:pPr>
    <w:rPr>
      <w:b/>
      <w:bCs/>
      <w:color w:val="1A7B7B"/>
      <w:sz w:val="22"/>
      <w:szCs w:val="22"/>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4110</Words>
  <Characters>23432</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Southwest Recovery Services</Company>
  <LinksUpToDate>false</LinksUpToDate>
  <CharactersWithSpaces>27488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Steven Dietz</cp:lastModifiedBy>
  <cp:revision>2</cp:revision>
  <dcterms:created xsi:type="dcterms:W3CDTF">2026-05-06T19:41:00Z</dcterms:created>
  <dcterms:modified xsi:type="dcterms:W3CDTF">2026-05-06T19:41:00Z</dcterms:modified>
</cp:coreProperties>
</file>